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4.xml" ContentType="application/vnd.openxmlformats-officedocument.themeOverride+xml"/>
  <Override PartName="/word/drawings/drawing1.xml" ContentType="application/vnd.openxmlformats-officedocument.drawingml.chartshapes+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5.xml" ContentType="application/vnd.openxmlformats-officedocument.themeOverride+xml"/>
  <Override PartName="/word/drawings/drawing2.xml" ContentType="application/vnd.openxmlformats-officedocument.drawingml.chartshapes+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6.xml" ContentType="application/vnd.openxmlformats-officedocument.themeOverride+xml"/>
  <Override PartName="/word/drawings/drawing3.xml" ContentType="application/vnd.openxmlformats-officedocument.drawingml.chartshapes+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8.xml" ContentType="application/vnd.openxmlformats-officedocument.themeOverride+xml"/>
  <Override PartName="/word/drawings/drawing4.xml" ContentType="application/vnd.openxmlformats-officedocument.drawingml.chartshapes+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9.xml" ContentType="application/vnd.openxmlformats-officedocument.themeOverride+xml"/>
  <Override PartName="/word/drawings/drawing5.xml" ContentType="application/vnd.openxmlformats-officedocument.drawingml.chartshapes+xml"/>
  <Override PartName="/word/header8.xml" ContentType="application/vnd.openxmlformats-officedocument.wordprocessingml.header+xml"/>
  <Override PartName="/word/footer6.xml" ContentType="application/vnd.openxmlformats-officedocument.wordprocessingml.footer+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0.xml" ContentType="application/vnd.openxmlformats-officedocument.themeOverrid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1.xml" ContentType="application/vnd.openxmlformats-officedocument.themeOverrid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2.xml" ContentType="application/vnd.openxmlformats-officedocument.themeOverrid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header9.xml" ContentType="application/vnd.openxmlformats-officedocument.wordprocessingml.header+xml"/>
  <Override PartName="/word/footer7.xml" ContentType="application/vnd.openxmlformats-officedocument.wordprocessingml.footer+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3.xml" ContentType="application/vnd.openxmlformats-officedocument.themeOverrid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4.xml" ContentType="application/vnd.openxmlformats-officedocument.themeOverride+xml"/>
  <Override PartName="/word/charts/chart19.xml" ContentType="application/vnd.openxmlformats-officedocument.drawingml.chart+xml"/>
  <Override PartName="/word/theme/themeOverride15.xml" ContentType="application/vnd.openxmlformats-officedocument.themeOverride+xml"/>
  <Override PartName="/word/charts/chart20.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6.xml" ContentType="application/vnd.openxmlformats-officedocument.themeOverride+xml"/>
  <Override PartName="/word/charts/chart21.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7.xml" ContentType="application/vnd.openxmlformats-officedocument.themeOverride+xml"/>
  <Override PartName="/word/charts/chart22.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8.xml" ContentType="application/vnd.openxmlformats-officedocument.themeOverride+xml"/>
  <Override PartName="/word/charts/chart23.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9.xml" ContentType="application/vnd.openxmlformats-officedocument.themeOverride+xml"/>
  <Override PartName="/word/charts/chart24.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0.xml" ContentType="application/vnd.openxmlformats-officedocument.themeOverride+xml"/>
  <Override PartName="/word/header10.xml" ContentType="application/vnd.openxmlformats-officedocument.wordprocessingml.header+xml"/>
  <Override PartName="/word/footer8.xml" ContentType="application/vnd.openxmlformats-officedocument.wordprocessingml.footer+xml"/>
  <Override PartName="/word/charts/chart25.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6.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1.xml" ContentType="application/vnd.openxmlformats-officedocument.themeOverride+xml"/>
  <Override PartName="/word/charts/chart27.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8.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22.xml" ContentType="application/vnd.openxmlformats-officedocument.themeOverride+xml"/>
  <Override PartName="/word/charts/chart29.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23.xml" ContentType="application/vnd.openxmlformats-officedocument.themeOverride+xml"/>
  <Override PartName="/word/charts/chart30.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31.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2.xml" ContentType="application/vnd.openxmlformats-officedocument.drawingml.chart+xml"/>
  <Override PartName="/word/charts/style30.xml" ContentType="application/vnd.ms-office.chartstyle+xml"/>
  <Override PartName="/word/charts/colors30.xml" ContentType="application/vnd.ms-office.chartcolorstyle+xml"/>
  <Override PartName="/word/charts/chart33.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34.xml" ContentType="application/vnd.openxmlformats-officedocument.drawingml.chart+xml"/>
  <Override PartName="/word/charts/style32.xml" ContentType="application/vnd.ms-office.chartstyle+xml"/>
  <Override PartName="/word/charts/colors32.xml" ContentType="application/vnd.ms-office.chartcolorstyle+xml"/>
  <Override PartName="/word/charts/chart35.xml" ContentType="application/vnd.openxmlformats-officedocument.drawingml.chart+xml"/>
  <Override PartName="/word/charts/style33.xml" ContentType="application/vnd.ms-office.chartstyle+xml"/>
  <Override PartName="/word/charts/colors33.xml" ContentType="application/vnd.ms-office.chartcolorstyle+xml"/>
  <Override PartName="/word/header11.xml" ContentType="application/vnd.openxmlformats-officedocument.wordprocessingml.header+xml"/>
  <Override PartName="/word/footer9.xml" ContentType="application/vnd.openxmlformats-officedocument.wordprocessingml.footer+xml"/>
  <Override PartName="/word/charts/chart36.xml" ContentType="application/vnd.openxmlformats-officedocument.drawingml.chart+xml"/>
  <Override PartName="/word/charts/style34.xml" ContentType="application/vnd.ms-office.chartstyle+xml"/>
  <Override PartName="/word/charts/colors34.xml" ContentType="application/vnd.ms-office.chartcolorstyle+xml"/>
  <Override PartName="/word/charts/chart37.xml" ContentType="application/vnd.openxmlformats-officedocument.drawingml.chart+xml"/>
  <Override PartName="/word/charts/style35.xml" ContentType="application/vnd.ms-office.chartstyle+xml"/>
  <Override PartName="/word/charts/colors35.xml" ContentType="application/vnd.ms-office.chartcolorstyle+xml"/>
  <Override PartName="/word/charts/chart38.xml" ContentType="application/vnd.openxmlformats-officedocument.drawingml.chart+xml"/>
  <Override PartName="/word/charts/style36.xml" ContentType="application/vnd.ms-office.chartstyle+xml"/>
  <Override PartName="/word/charts/colors36.xml" ContentType="application/vnd.ms-office.chartcolorstyle+xml"/>
  <Override PartName="/word/charts/chart39.xml" ContentType="application/vnd.openxmlformats-officedocument.drawingml.chart+xml"/>
  <Override PartName="/word/charts/style37.xml" ContentType="application/vnd.ms-office.chartstyle+xml"/>
  <Override PartName="/word/charts/colors37.xml" ContentType="application/vnd.ms-office.chartcolorstyle+xml"/>
  <Override PartName="/word/charts/chart40.xml" ContentType="application/vnd.openxmlformats-officedocument.drawingml.chart+xml"/>
  <Override PartName="/word/charts/style38.xml" ContentType="application/vnd.ms-office.chartstyle+xml"/>
  <Override PartName="/word/charts/colors38.xml" ContentType="application/vnd.ms-office.chartcolorstyle+xml"/>
  <Override PartName="/word/charts/chart41.xml" ContentType="application/vnd.openxmlformats-officedocument.drawingml.chart+xml"/>
  <Override PartName="/word/charts/style39.xml" ContentType="application/vnd.ms-office.chartstyle+xml"/>
  <Override PartName="/word/charts/colors39.xml" ContentType="application/vnd.ms-office.chartcolorstyle+xml"/>
  <Override PartName="/word/theme/themeOverride24.xml" ContentType="application/vnd.openxmlformats-officedocument.themeOverride+xml"/>
  <Override PartName="/word/charts/chart42.xml" ContentType="application/vnd.openxmlformats-officedocument.drawingml.chart+xml"/>
  <Override PartName="/word/charts/style40.xml" ContentType="application/vnd.ms-office.chartstyle+xml"/>
  <Override PartName="/word/charts/colors40.xml" ContentType="application/vnd.ms-office.chartcolorstyle+xml"/>
  <Override PartName="/word/charts/chart43.xml" ContentType="application/vnd.openxmlformats-officedocument.drawingml.chart+xml"/>
  <Override PartName="/word/charts/style41.xml" ContentType="application/vnd.ms-office.chartstyle+xml"/>
  <Override PartName="/word/charts/colors41.xml" ContentType="application/vnd.ms-office.chartcolorstyle+xml"/>
  <Override PartName="/word/theme/themeOverride25.xml" ContentType="application/vnd.openxmlformats-officedocument.themeOverride+xml"/>
  <Override PartName="/word/charts/chart44.xml" ContentType="application/vnd.openxmlformats-officedocument.drawingml.chart+xml"/>
  <Override PartName="/word/charts/style42.xml" ContentType="application/vnd.ms-office.chartstyle+xml"/>
  <Override PartName="/word/charts/colors42.xml" ContentType="application/vnd.ms-office.chartcolorstyle+xml"/>
  <Override PartName="/word/theme/themeOverride26.xml" ContentType="application/vnd.openxmlformats-officedocument.themeOverride+xml"/>
  <Override PartName="/word/charts/chart45.xml" ContentType="application/vnd.openxmlformats-officedocument.drawingml.chart+xml"/>
  <Override PartName="/word/charts/style43.xml" ContentType="application/vnd.ms-office.chartstyle+xml"/>
  <Override PartName="/word/charts/colors43.xml" ContentType="application/vnd.ms-office.chartcolorstyle+xml"/>
  <Override PartName="/word/charts/chart46.xml" ContentType="application/vnd.openxmlformats-officedocument.drawingml.chart+xml"/>
  <Override PartName="/word/charts/style44.xml" ContentType="application/vnd.ms-office.chartstyle+xml"/>
  <Override PartName="/word/charts/colors44.xml" ContentType="application/vnd.ms-office.chartcolorstyle+xml"/>
  <Override PartName="/word/charts/chart47.xml" ContentType="application/vnd.openxmlformats-officedocument.drawingml.chart+xml"/>
  <Override PartName="/word/charts/style45.xml" ContentType="application/vnd.ms-office.chartstyle+xml"/>
  <Override PartName="/word/charts/colors45.xml" ContentType="application/vnd.ms-office.chartcolorstyle+xml"/>
  <Override PartName="/word/theme/themeOverride27.xml" ContentType="application/vnd.openxmlformats-officedocument.themeOverride+xml"/>
  <Override PartName="/word/charts/chart48.xml" ContentType="application/vnd.openxmlformats-officedocument.drawingml.chart+xml"/>
  <Override PartName="/word/charts/style46.xml" ContentType="application/vnd.ms-office.chartstyle+xml"/>
  <Override PartName="/word/charts/colors46.xml" ContentType="application/vnd.ms-office.chartcolorstyle+xml"/>
  <Override PartName="/word/theme/themeOverride28.xml" ContentType="application/vnd.openxmlformats-officedocument.themeOverride+xml"/>
  <Override PartName="/word/charts/chart49.xml" ContentType="application/vnd.openxmlformats-officedocument.drawingml.chart+xml"/>
  <Override PartName="/word/charts/style47.xml" ContentType="application/vnd.ms-office.chartstyle+xml"/>
  <Override PartName="/word/charts/colors47.xml" ContentType="application/vnd.ms-office.chartcolorstyle+xml"/>
  <Override PartName="/word/header12.xml" ContentType="application/vnd.openxmlformats-officedocument.wordprocessingml.header+xml"/>
  <Override PartName="/word/footer10.xml" ContentType="application/vnd.openxmlformats-officedocument.wordprocessingml.footer+xml"/>
  <Override PartName="/word/charts/chart50.xml" ContentType="application/vnd.openxmlformats-officedocument.drawingml.chart+xml"/>
  <Override PartName="/word/charts/style48.xml" ContentType="application/vnd.ms-office.chartstyle+xml"/>
  <Override PartName="/word/charts/colors48.xml" ContentType="application/vnd.ms-office.chartcolorstyle+xml"/>
  <Override PartName="/word/charts/chart51.xml" ContentType="application/vnd.openxmlformats-officedocument.drawingml.chart+xml"/>
  <Override PartName="/word/charts/style49.xml" ContentType="application/vnd.ms-office.chartstyle+xml"/>
  <Override PartName="/word/charts/colors49.xml" ContentType="application/vnd.ms-office.chartcolorstyle+xml"/>
  <Override PartName="/word/charts/chart52.xml" ContentType="application/vnd.openxmlformats-officedocument.drawingml.chart+xml"/>
  <Override PartName="/word/theme/themeOverride29.xml" ContentType="application/vnd.openxmlformats-officedocument.themeOverride+xml"/>
  <Override PartName="/word/charts/chart53.xml" ContentType="application/vnd.openxmlformats-officedocument.drawingml.chart+xml"/>
  <Override PartName="/word/theme/themeOverride30.xml" ContentType="application/vnd.openxmlformats-officedocument.themeOverride+xml"/>
  <Override PartName="/word/charts/chart54.xml" ContentType="application/vnd.openxmlformats-officedocument.drawingml.chart+xml"/>
  <Override PartName="/word/theme/themeOverride31.xml" ContentType="application/vnd.openxmlformats-officedocument.themeOverride+xml"/>
  <Override PartName="/word/charts/chart55.xml" ContentType="application/vnd.openxmlformats-officedocument.drawingml.chart+xml"/>
  <Override PartName="/word/theme/themeOverride32.xml" ContentType="application/vnd.openxmlformats-officedocument.themeOverride+xml"/>
  <Override PartName="/word/charts/chart56.xml" ContentType="application/vnd.openxmlformats-officedocument.drawingml.chart+xml"/>
  <Override PartName="/word/theme/themeOverride33.xml" ContentType="application/vnd.openxmlformats-officedocument.themeOverride+xml"/>
  <Override PartName="/word/charts/chart57.xml" ContentType="application/vnd.openxmlformats-officedocument.drawingml.chart+xml"/>
  <Override PartName="/word/theme/themeOverride34.xml" ContentType="application/vnd.openxmlformats-officedocument.themeOverride+xml"/>
  <Override PartName="/word/charts/chart58.xml" ContentType="application/vnd.openxmlformats-officedocument.drawingml.chart+xml"/>
  <Override PartName="/word/theme/themeOverride35.xml" ContentType="application/vnd.openxmlformats-officedocument.themeOverride+xml"/>
  <Override PartName="/word/charts/chart59.xml" ContentType="application/vnd.openxmlformats-officedocument.drawingml.chart+xml"/>
  <Override PartName="/word/charts/style50.xml" ContentType="application/vnd.ms-office.chartstyle+xml"/>
  <Override PartName="/word/charts/colors50.xml" ContentType="application/vnd.ms-office.chartcolorstyle+xml"/>
  <Override PartName="/word/charts/chart60.xml" ContentType="application/vnd.openxmlformats-officedocument.drawingml.chart+xml"/>
  <Override PartName="/word/charts/style51.xml" ContentType="application/vnd.ms-office.chartstyle+xml"/>
  <Override PartName="/word/charts/colors51.xml" ContentType="application/vnd.ms-office.chartcolorstyle+xml"/>
  <Override PartName="/word/theme/themeOverride36.xml" ContentType="application/vnd.openxmlformats-officedocument.themeOverride+xml"/>
  <Override PartName="/word/charts/chart61.xml" ContentType="application/vnd.openxmlformats-officedocument.drawingml.chart+xml"/>
  <Override PartName="/word/charts/style52.xml" ContentType="application/vnd.ms-office.chartstyle+xml"/>
  <Override PartName="/word/charts/colors52.xml" ContentType="application/vnd.ms-office.chartcolorstyle+xml"/>
  <Override PartName="/word/charts/chart62.xml" ContentType="application/vnd.openxmlformats-officedocument.drawingml.chart+xml"/>
  <Override PartName="/word/charts/style53.xml" ContentType="application/vnd.ms-office.chartstyle+xml"/>
  <Override PartName="/word/charts/colors53.xml" ContentType="application/vnd.ms-office.chartcolorstyle+xml"/>
  <Override PartName="/word/theme/themeOverride37.xml" ContentType="application/vnd.openxmlformats-officedocument.themeOverride+xml"/>
  <Override PartName="/word/charts/chart63.xml" ContentType="application/vnd.openxmlformats-officedocument.drawingml.chart+xml"/>
  <Override PartName="/word/charts/style54.xml" ContentType="application/vnd.ms-office.chartstyle+xml"/>
  <Override PartName="/word/charts/colors54.xml" ContentType="application/vnd.ms-office.chartcolorstyle+xml"/>
  <Override PartName="/word/theme/themeOverride38.xml" ContentType="application/vnd.openxmlformats-officedocument.themeOverride+xml"/>
  <Override PartName="/word/charts/chart64.xml" ContentType="application/vnd.openxmlformats-officedocument.drawingml.chart+xml"/>
  <Override PartName="/word/charts/style55.xml" ContentType="application/vnd.ms-office.chartstyle+xml"/>
  <Override PartName="/word/charts/colors55.xml" ContentType="application/vnd.ms-office.chartcolorstyle+xml"/>
  <Override PartName="/word/charts/chart65.xml" ContentType="application/vnd.openxmlformats-officedocument.drawingml.chart+xml"/>
  <Override PartName="/word/charts/style56.xml" ContentType="application/vnd.ms-office.chartstyle+xml"/>
  <Override PartName="/word/charts/colors56.xml" ContentType="application/vnd.ms-office.chartcolorstyle+xml"/>
  <Override PartName="/word/charts/chart66.xml" ContentType="application/vnd.openxmlformats-officedocument.drawingml.chart+xml"/>
  <Override PartName="/word/charts/style57.xml" ContentType="application/vnd.ms-office.chartstyle+xml"/>
  <Override PartName="/word/charts/colors57.xml" ContentType="application/vnd.ms-office.chartcolorstyle+xml"/>
  <Override PartName="/word/theme/themeOverride39.xml" ContentType="application/vnd.openxmlformats-officedocument.themeOverride+xml"/>
  <Override PartName="/word/charts/chart67.xml" ContentType="application/vnd.openxmlformats-officedocument.drawingml.chart+xml"/>
  <Override PartName="/word/charts/style58.xml" ContentType="application/vnd.ms-office.chartstyle+xml"/>
  <Override PartName="/word/charts/colors58.xml" ContentType="application/vnd.ms-office.chartcolorstyle+xml"/>
  <Override PartName="/word/charts/chart68.xml" ContentType="application/vnd.openxmlformats-officedocument.drawingml.chart+xml"/>
  <Override PartName="/word/charts/style59.xml" ContentType="application/vnd.ms-office.chartstyle+xml"/>
  <Override PartName="/word/charts/colors59.xml" ContentType="application/vnd.ms-office.chartcolorstyle+xml"/>
  <Override PartName="/word/charts/chart69.xml" ContentType="application/vnd.openxmlformats-officedocument.drawingml.chart+xml"/>
  <Override PartName="/word/charts/style60.xml" ContentType="application/vnd.ms-office.chartstyle+xml"/>
  <Override PartName="/word/charts/colors60.xml" ContentType="application/vnd.ms-office.chartcolorstyle+xml"/>
  <Override PartName="/word/charts/chart70.xml" ContentType="application/vnd.openxmlformats-officedocument.drawingml.chart+xml"/>
  <Override PartName="/word/charts/style61.xml" ContentType="application/vnd.ms-office.chartstyle+xml"/>
  <Override PartName="/word/charts/colors61.xml" ContentType="application/vnd.ms-office.chartcolorstyle+xml"/>
  <Override PartName="/word/theme/themeOverride40.xml" ContentType="application/vnd.openxmlformats-officedocument.themeOverride+xml"/>
  <Override PartName="/word/header13.xml" ContentType="application/vnd.openxmlformats-officedocument.wordprocessingml.header+xml"/>
  <Override PartName="/word/footer11.xml" ContentType="application/vnd.openxmlformats-officedocument.wordprocessingml.footer+xml"/>
  <Override PartName="/word/charts/chart71.xml" ContentType="application/vnd.openxmlformats-officedocument.drawingml.chart+xml"/>
  <Override PartName="/word/theme/themeOverride41.xml" ContentType="application/vnd.openxmlformats-officedocument.themeOverride+xml"/>
  <Override PartName="/word/charts/chart72.xml" ContentType="application/vnd.openxmlformats-officedocument.drawingml.chart+xml"/>
  <Override PartName="/word/theme/themeOverride42.xml" ContentType="application/vnd.openxmlformats-officedocument.themeOverride+xml"/>
  <Override PartName="/word/charts/chart73.xml" ContentType="application/vnd.openxmlformats-officedocument.drawingml.chart+xml"/>
  <Override PartName="/word/charts/style62.xml" ContentType="application/vnd.ms-office.chartstyle+xml"/>
  <Override PartName="/word/charts/colors62.xml" ContentType="application/vnd.ms-office.chartcolorstyle+xml"/>
  <Override PartName="/word/theme/themeOverride43.xml" ContentType="application/vnd.openxmlformats-officedocument.themeOverride+xml"/>
  <Override PartName="/word/charts/chart74.xml" ContentType="application/vnd.openxmlformats-officedocument.drawingml.chart+xml"/>
  <Override PartName="/word/charts/style63.xml" ContentType="application/vnd.ms-office.chartstyle+xml"/>
  <Override PartName="/word/charts/colors63.xml" ContentType="application/vnd.ms-office.chartcolorstyle+xml"/>
  <Override PartName="/word/theme/themeOverride44.xml" ContentType="application/vnd.openxmlformats-officedocument.themeOverride+xml"/>
  <Override PartName="/word/charts/chart75.xml" ContentType="application/vnd.openxmlformats-officedocument.drawingml.chart+xml"/>
  <Override PartName="/word/charts/style64.xml" ContentType="application/vnd.ms-office.chartstyle+xml"/>
  <Override PartName="/word/charts/colors64.xml" ContentType="application/vnd.ms-office.chartcolorstyle+xml"/>
  <Override PartName="/word/theme/themeOverride45.xml" ContentType="application/vnd.openxmlformats-officedocument.themeOverride+xml"/>
  <Override PartName="/word/charts/chart76.xml" ContentType="application/vnd.openxmlformats-officedocument.drawingml.chart+xml"/>
  <Override PartName="/word/header14.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A31AE" w:rsidRPr="006A31AE" w:rsidRDefault="001A69E1" w:rsidP="006A31AE">
      <w:pPr>
        <w:tabs>
          <w:tab w:val="left" w:pos="2552"/>
        </w:tabs>
        <w:spacing w:after="200" w:line="276" w:lineRule="auto"/>
        <w:rPr>
          <w:rFonts w:ascii="Arial" w:eastAsia="Calibri" w:hAnsi="Arial" w:cs="Arial"/>
          <w:sz w:val="24"/>
          <w:szCs w:val="24"/>
        </w:rPr>
      </w:pPr>
      <w:r w:rsidRPr="006A31AE">
        <w:rPr>
          <w:rFonts w:ascii="Arial" w:eastAsia="Calibri" w:hAnsi="Arial" w:cs="Arial"/>
          <w:noProof/>
          <w:sz w:val="24"/>
          <w:szCs w:val="24"/>
          <w:lang w:eastAsia="en-GB"/>
        </w:rPr>
        <mc:AlternateContent>
          <mc:Choice Requires="wps">
            <w:drawing>
              <wp:anchor distT="0" distB="0" distL="114300" distR="114300" simplePos="0" relativeHeight="251671552" behindDoc="0" locked="0" layoutInCell="1" allowOverlap="1" wp14:anchorId="4191FFE6" wp14:editId="1912E6FD">
                <wp:simplePos x="0" y="0"/>
                <wp:positionH relativeFrom="column">
                  <wp:posOffset>1676401</wp:posOffset>
                </wp:positionH>
                <wp:positionV relativeFrom="paragraph">
                  <wp:posOffset>-360681</wp:posOffset>
                </wp:positionV>
                <wp:extent cx="1562100" cy="1562100"/>
                <wp:effectExtent l="257175" t="258445" r="257175" b="255905"/>
                <wp:wrapNone/>
                <wp:docPr id="13324" name="AutoShape 1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rot="2700000">
                          <a:off x="0" y="0"/>
                          <a:ext cx="1562100" cy="1562100"/>
                        </a:xfrm>
                        <a:prstGeom prst="roundRect">
                          <a:avLst>
                            <a:gd name="adj" fmla="val 16667"/>
                          </a:avLst>
                        </a:prstGeom>
                        <a:solidFill>
                          <a:sysClr val="window" lastClr="FFFFFF">
                            <a:lumMod val="50000"/>
                            <a:lumOff val="0"/>
                          </a:sysClr>
                        </a:solidFill>
                        <a:ln w="25400">
                          <a:solidFill>
                            <a:sysClr val="window" lastClr="FFFFFF">
                              <a:lumMod val="50000"/>
                              <a:lumOff val="0"/>
                            </a:sysClr>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D1D30F7" id="AutoShape 125" o:spid="_x0000_s1026" style="position:absolute;margin-left:132pt;margin-top:-28.4pt;width:123pt;height:123pt;rotation:45;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" fillcolor="#7f7f7f" strokecolor="#7f7f7f" strokeweight="2pt">
                <v:path arrowok="t"/>
                <o:lock v:ext="edit" aspectratio="t"/>
              </v:roundrect>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60288" behindDoc="0" locked="0" layoutInCell="1" allowOverlap="1" wp14:anchorId="6D2835D8" wp14:editId="3AA688D2">
                <wp:simplePos x="0" y="0"/>
                <wp:positionH relativeFrom="column">
                  <wp:posOffset>5410200</wp:posOffset>
                </wp:positionH>
                <wp:positionV relativeFrom="paragraph">
                  <wp:posOffset>4450080</wp:posOffset>
                </wp:positionV>
                <wp:extent cx="3956685" cy="916305"/>
                <wp:effectExtent l="0" t="0" r="5715"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6685" cy="916305"/>
                        </a:xfrm>
                        <a:prstGeom prst="rect">
                          <a:avLst/>
                        </a:prstGeom>
                        <a:solidFill>
                          <a:srgbClr val="FFFFFF"/>
                        </a:solidFill>
                        <a:ln w="9525">
                          <a:noFill/>
                          <a:miter lim="800000"/>
                          <a:headEnd/>
                          <a:tailEnd/>
                        </a:ln>
                      </wps:spPr>
                      <wps:txbx>
                        <w:txbxContent>
                          <w:p w:rsidR="00721450" w:rsidRPr="008E729C" w:rsidRDefault="00721450" w:rsidP="006A31AE">
                            <w:pPr>
                              <w:jc w:val="center"/>
                              <w:rPr>
                                <w:b/>
                                <w:color w:val="701471"/>
                                <w:sz w:val="56"/>
                                <w:szCs w:val="56"/>
                              </w:rPr>
                            </w:pPr>
                            <w:r w:rsidRPr="00D5429E">
                              <w:rPr>
                                <w:b/>
                                <w:color w:val="701471"/>
                                <w:sz w:val="56"/>
                                <w:szCs w:val="32"/>
                              </w:rPr>
                              <w:t xml:space="preserve">BOROUGH PROFILE </w:t>
                            </w:r>
                            <w:r w:rsidRPr="008E729C">
                              <w:rPr>
                                <w:b/>
                                <w:color w:val="701471"/>
                                <w:sz w:val="44"/>
                                <w:szCs w:val="44"/>
                              </w:rPr>
                              <w:t>December</w:t>
                            </w:r>
                            <w:r>
                              <w:rPr>
                                <w:b/>
                                <w:color w:val="701471"/>
                                <w:sz w:val="44"/>
                                <w:szCs w:val="44"/>
                              </w:rPr>
                              <w:t xml:space="preserve"> 201</w:t>
                            </w:r>
                            <w:r w:rsidRPr="008E729C">
                              <w:rPr>
                                <w:b/>
                                <w:color w:val="701471"/>
                                <w:sz w:val="44"/>
                                <w:szCs w:val="44"/>
                              </w:rPr>
                              <w:t>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D2835D8" id="_x0000_t202" coordsize="21600,21600" o:spt="202" path="m,l,21600r21600,l21600,xe">
                <v:stroke joinstyle="miter"/>
                <v:path gradientshapeok="t" o:connecttype="rect"/>
              </v:shapetype>
              <v:shape id="Text Box 2" o:spid="_x0000_s1026" type="#_x0000_t202" style="position:absolute;margin-left:426pt;margin-top:350.4pt;width:311.55pt;height:72.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" stroked="f">
                <v:textbox>
                  <w:txbxContent>
                    <w:p w:rsidR="00721450" w:rsidRPr="008E729C" w:rsidRDefault="00721450" w:rsidP="006A31AE">
                      <w:pPr>
                        <w:jc w:val="center"/>
                        <w:rPr>
                          <w:b/>
                          <w:color w:val="701471"/>
                          <w:sz w:val="56"/>
                          <w:szCs w:val="56"/>
                        </w:rPr>
                      </w:pPr>
                      <w:r w:rsidRPr="00D5429E">
                        <w:rPr>
                          <w:b/>
                          <w:color w:val="701471"/>
                          <w:sz w:val="56"/>
                          <w:szCs w:val="32"/>
                        </w:rPr>
                        <w:t xml:space="preserve">BOROUGH PROFILE </w:t>
                      </w:r>
                      <w:r w:rsidRPr="008E729C">
                        <w:rPr>
                          <w:b/>
                          <w:color w:val="701471"/>
                          <w:sz w:val="44"/>
                          <w:szCs w:val="44"/>
                        </w:rPr>
                        <w:t>December</w:t>
                      </w:r>
                      <w:r>
                        <w:rPr>
                          <w:b/>
                          <w:color w:val="701471"/>
                          <w:sz w:val="44"/>
                          <w:szCs w:val="44"/>
                        </w:rPr>
                        <w:t xml:space="preserve"> 201</w:t>
                      </w:r>
                      <w:r w:rsidRPr="008E729C">
                        <w:rPr>
                          <w:b/>
                          <w:color w:val="701471"/>
                          <w:sz w:val="44"/>
                          <w:szCs w:val="44"/>
                        </w:rPr>
                        <w:t>8</w:t>
                      </w:r>
                    </w:p>
                  </w:txbxContent>
                </v:textbox>
              </v:shape>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72576" behindDoc="0" locked="0" layoutInCell="1" allowOverlap="1" wp14:anchorId="21DBA2C1" wp14:editId="01FF7E04">
                <wp:simplePos x="0" y="0"/>
                <wp:positionH relativeFrom="column">
                  <wp:posOffset>1791335</wp:posOffset>
                </wp:positionH>
                <wp:positionV relativeFrom="paragraph">
                  <wp:posOffset>-113665</wp:posOffset>
                </wp:positionV>
                <wp:extent cx="1285875" cy="1052830"/>
                <wp:effectExtent l="0" t="0" r="0" b="0"/>
                <wp:wrapNone/>
                <wp:docPr id="133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1052830"/>
                        </a:xfrm>
                        <a:prstGeom prst="rect">
                          <a:avLst/>
                        </a:prstGeom>
                        <a:noFill/>
                        <a:ln w="9525">
                          <a:noFill/>
                          <a:miter lim="800000"/>
                          <a:headEnd/>
                          <a:tailEnd/>
                        </a:ln>
                      </wps:spPr>
                      <wps:txbx>
                        <w:txbxContent>
                          <w:p w:rsidR="00721450" w:rsidRDefault="00721450" w:rsidP="006A31AE">
                            <w:pPr>
                              <w:jc w:val="center"/>
                            </w:pPr>
                            <w:r w:rsidRPr="00106210">
                              <w:rPr>
                                <w:noProof/>
                                <w:lang w:eastAsia="en-GB"/>
                              </w:rPr>
                              <w:drawing>
                                <wp:inline distT="0" distB="0" distL="0" distR="0" wp14:anchorId="03FC809A" wp14:editId="08DE3A89">
                                  <wp:extent cx="901700" cy="901700"/>
                                  <wp:effectExtent l="19050" t="0" r="0" b="0"/>
                                  <wp:docPr id="29" name="Picture 5"/>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8" cstate="print"/>
                                          <a:srcRect/>
                                          <a:stretch>
                                            <a:fillRect/>
                                          </a:stretch>
                                        </pic:blipFill>
                                        <pic:spPr bwMode="auto">
                                          <a:xfrm>
                                            <a:off x="0" y="0"/>
                                            <a:ext cx="901700" cy="901700"/>
                                          </a:xfrm>
                                          <a:prstGeom prst="rect">
                                            <a:avLst/>
                                          </a:prstGeom>
                                          <a:noFill/>
                                          <a:ln w="9525">
                                            <a:noFill/>
                                            <a:miter lim="800000"/>
                                            <a:headEnd/>
                                            <a:tailEnd/>
                                          </a:ln>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DBA2C1" id="_x0000_s1027" type="#_x0000_t202" style="position:absolute;margin-left:141.05pt;margin-top:-8.95pt;width:101.25pt;height:82.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" filled="f" stroked="f">
                <v:textbox>
                  <w:txbxContent>
                    <w:p w:rsidR="00721450" w:rsidRDefault="00721450" w:rsidP="006A31AE">
                      <w:pPr>
                        <w:jc w:val="center"/>
                      </w:pPr>
                      <w:r w:rsidRPr="00106210">
                        <w:rPr>
                          <w:noProof/>
                          <w:lang w:eastAsia="en-GB"/>
                        </w:rPr>
                        <w:drawing>
                          <wp:inline distT="0" distB="0" distL="0" distR="0" wp14:anchorId="03FC809A" wp14:editId="08DE3A89">
                            <wp:extent cx="901700" cy="901700"/>
                            <wp:effectExtent l="19050" t="0" r="0" b="0"/>
                            <wp:docPr id="29" name="Picture 5"/>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9" cstate="print"/>
                                    <a:srcRect/>
                                    <a:stretch>
                                      <a:fillRect/>
                                    </a:stretch>
                                  </pic:blipFill>
                                  <pic:spPr bwMode="auto">
                                    <a:xfrm>
                                      <a:off x="0" y="0"/>
                                      <a:ext cx="901700" cy="901700"/>
                                    </a:xfrm>
                                    <a:prstGeom prst="rect">
                                      <a:avLst/>
                                    </a:prstGeom>
                                    <a:noFill/>
                                    <a:ln w="9525">
                                      <a:noFill/>
                                      <a:miter lim="800000"/>
                                      <a:headEnd/>
                                      <a:tailEnd/>
                                    </a:ln>
                                    <a:effectLst/>
                                  </pic:spPr>
                                </pic:pic>
                              </a:graphicData>
                            </a:graphic>
                          </wp:inline>
                        </w:drawing>
                      </w:r>
                    </w:p>
                  </w:txbxContent>
                </v:textbox>
              </v:shape>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80768" behindDoc="0" locked="0" layoutInCell="1" allowOverlap="1" wp14:anchorId="05342685" wp14:editId="3CB66F0B">
                <wp:simplePos x="0" y="0"/>
                <wp:positionH relativeFrom="column">
                  <wp:posOffset>4546600</wp:posOffset>
                </wp:positionH>
                <wp:positionV relativeFrom="paragraph">
                  <wp:posOffset>2005330</wp:posOffset>
                </wp:positionV>
                <wp:extent cx="1409700" cy="1228725"/>
                <wp:effectExtent l="0" t="0" r="0" b="0"/>
                <wp:wrapNone/>
                <wp:docPr id="133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1228725"/>
                        </a:xfrm>
                        <a:prstGeom prst="rect">
                          <a:avLst/>
                        </a:prstGeom>
                        <a:noFill/>
                        <a:ln w="9525">
                          <a:noFill/>
                          <a:miter lim="800000"/>
                          <a:headEnd/>
                          <a:tailEnd/>
                        </a:ln>
                      </wps:spPr>
                      <wps:txbx>
                        <w:txbxContent>
                          <w:p w:rsidR="00721450" w:rsidRDefault="00721450" w:rsidP="006A31AE">
                            <w:pPr>
                              <w:jc w:val="center"/>
                            </w:pPr>
                            <w:r w:rsidRPr="00C42C1E">
                              <w:rPr>
                                <w:noProof/>
                                <w:lang w:eastAsia="en-GB"/>
                              </w:rPr>
                              <w:drawing>
                                <wp:inline distT="0" distB="0" distL="0" distR="0" wp14:anchorId="610F1DD5" wp14:editId="1BF85E68">
                                  <wp:extent cx="1102995" cy="1035255"/>
                                  <wp:effectExtent l="19050" t="0" r="1905" b="0"/>
                                  <wp:docPr id="30" name="Picture 3"/>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0" cstate="print"/>
                                          <a:srcRect/>
                                          <a:stretch>
                                            <a:fillRect/>
                                          </a:stretch>
                                        </pic:blipFill>
                                        <pic:spPr bwMode="auto">
                                          <a:xfrm>
                                            <a:off x="0" y="0"/>
                                            <a:ext cx="1102995" cy="1035255"/>
                                          </a:xfrm>
                                          <a:prstGeom prst="rect">
                                            <a:avLst/>
                                          </a:prstGeom>
                                          <a:noFill/>
                                          <a:ln w="9525">
                                            <a:noFill/>
                                            <a:miter lim="800000"/>
                                            <a:headEnd/>
                                            <a:tailEnd/>
                                          </a:ln>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342685" id="_x0000_s1028" type="#_x0000_t202" style="position:absolute;margin-left:358pt;margin-top:157.9pt;width:111pt;height:96.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" filled="f" stroked="f">
                <v:textbox>
                  <w:txbxContent>
                    <w:p w:rsidR="00721450" w:rsidRDefault="00721450" w:rsidP="006A31AE">
                      <w:pPr>
                        <w:jc w:val="center"/>
                      </w:pPr>
                      <w:r w:rsidRPr="00C42C1E">
                        <w:rPr>
                          <w:noProof/>
                          <w:lang w:eastAsia="en-GB"/>
                        </w:rPr>
                        <w:drawing>
                          <wp:inline distT="0" distB="0" distL="0" distR="0" wp14:anchorId="610F1DD5" wp14:editId="1BF85E68">
                            <wp:extent cx="1102995" cy="1035255"/>
                            <wp:effectExtent l="19050" t="0" r="1905" b="0"/>
                            <wp:docPr id="30" name="Picture 3"/>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1" cstate="print"/>
                                    <a:srcRect/>
                                    <a:stretch>
                                      <a:fillRect/>
                                    </a:stretch>
                                  </pic:blipFill>
                                  <pic:spPr bwMode="auto">
                                    <a:xfrm>
                                      <a:off x="0" y="0"/>
                                      <a:ext cx="1102995" cy="1035255"/>
                                    </a:xfrm>
                                    <a:prstGeom prst="rect">
                                      <a:avLst/>
                                    </a:prstGeom>
                                    <a:noFill/>
                                    <a:ln w="9525">
                                      <a:noFill/>
                                      <a:miter lim="800000"/>
                                      <a:headEnd/>
                                      <a:tailEnd/>
                                    </a:ln>
                                    <a:effectLst/>
                                  </pic:spPr>
                                </pic:pic>
                              </a:graphicData>
                            </a:graphic>
                          </wp:inline>
                        </w:drawing>
                      </w:r>
                    </w:p>
                  </w:txbxContent>
                </v:textbox>
              </v:shape>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79744" behindDoc="0" locked="0" layoutInCell="1" allowOverlap="1" wp14:anchorId="3DCED1B6" wp14:editId="42500F5B">
                <wp:simplePos x="0" y="0"/>
                <wp:positionH relativeFrom="column">
                  <wp:posOffset>4467225</wp:posOffset>
                </wp:positionH>
                <wp:positionV relativeFrom="paragraph">
                  <wp:posOffset>1821180</wp:posOffset>
                </wp:positionV>
                <wp:extent cx="1562100" cy="1562100"/>
                <wp:effectExtent l="257175" t="259080" r="257175" b="255270"/>
                <wp:wrapNone/>
                <wp:docPr id="13322" name="AutoShape 13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rot="2700000">
                          <a:off x="0" y="0"/>
                          <a:ext cx="1562100" cy="1562100"/>
                        </a:xfrm>
                        <a:prstGeom prst="roundRect">
                          <a:avLst>
                            <a:gd name="adj" fmla="val 16667"/>
                          </a:avLst>
                        </a:prstGeom>
                        <a:solidFill>
                          <a:sysClr val="window" lastClr="FFFFFF">
                            <a:lumMod val="50000"/>
                            <a:lumOff val="0"/>
                          </a:sysClr>
                        </a:solidFill>
                        <a:ln w="25400">
                          <a:solidFill>
                            <a:sysClr val="window" lastClr="FFFFFF">
                              <a:lumMod val="50000"/>
                              <a:lumOff val="0"/>
                            </a:sysClr>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D4EB007" id="AutoShape 133" o:spid="_x0000_s1026" style="position:absolute;margin-left:351.75pt;margin-top:143.4pt;width:123pt;height:123pt;rotation:45;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" fillcolor="#7f7f7f" strokecolor="#7f7f7f" strokeweight="2pt">
                <v:path arrowok="t"/>
                <o:lock v:ext="edit" aspectratio="t"/>
              </v:roundrect>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76672" behindDoc="0" locked="0" layoutInCell="1" allowOverlap="1" wp14:anchorId="1469E08A" wp14:editId="3CD7D6BD">
                <wp:simplePos x="0" y="0"/>
                <wp:positionH relativeFrom="column">
                  <wp:posOffset>2477135</wp:posOffset>
                </wp:positionH>
                <wp:positionV relativeFrom="paragraph">
                  <wp:posOffset>4749165</wp:posOffset>
                </wp:positionV>
                <wp:extent cx="1352550" cy="1228725"/>
                <wp:effectExtent l="0" t="0" r="0" b="0"/>
                <wp:wrapNone/>
                <wp:docPr id="133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1228725"/>
                        </a:xfrm>
                        <a:prstGeom prst="rect">
                          <a:avLst/>
                        </a:prstGeom>
                        <a:noFill/>
                        <a:ln w="9525">
                          <a:noFill/>
                          <a:miter lim="800000"/>
                          <a:headEnd/>
                          <a:tailEnd/>
                        </a:ln>
                      </wps:spPr>
                      <wps:txbx>
                        <w:txbxContent>
                          <w:p w:rsidR="00721450" w:rsidRDefault="00721450" w:rsidP="006A31AE">
                            <w:pPr>
                              <w:jc w:val="center"/>
                            </w:pPr>
                            <w:r w:rsidRPr="00106210">
                              <w:rPr>
                                <w:noProof/>
                                <w:lang w:eastAsia="en-GB"/>
                              </w:rPr>
                              <w:drawing>
                                <wp:inline distT="0" distB="0" distL="0" distR="0" wp14:anchorId="3FAE2E7E" wp14:editId="183A6A1F">
                                  <wp:extent cx="1102995" cy="1072829"/>
                                  <wp:effectExtent l="19050" t="0" r="1905" b="0"/>
                                  <wp:docPr id="31" name="Picture 4"/>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2" cstate="print"/>
                                          <a:srcRect/>
                                          <a:stretch>
                                            <a:fillRect/>
                                          </a:stretch>
                                        </pic:blipFill>
                                        <pic:spPr bwMode="auto">
                                          <a:xfrm>
                                            <a:off x="0" y="0"/>
                                            <a:ext cx="1102995" cy="1072829"/>
                                          </a:xfrm>
                                          <a:prstGeom prst="rect">
                                            <a:avLst/>
                                          </a:prstGeom>
                                          <a:noFill/>
                                          <a:ln w="9525">
                                            <a:noFill/>
                                            <a:miter lim="800000"/>
                                            <a:headEnd/>
                                            <a:tailEnd/>
                                          </a:ln>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69E08A" id="_x0000_s1029" type="#_x0000_t202" style="position:absolute;margin-left:195.05pt;margin-top:373.95pt;width:106.5pt;height:96.7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" filled="f" stroked="f">
                <v:textbox>
                  <w:txbxContent>
                    <w:p w:rsidR="00721450" w:rsidRDefault="00721450" w:rsidP="006A31AE">
                      <w:pPr>
                        <w:jc w:val="center"/>
                      </w:pPr>
                      <w:r w:rsidRPr="00106210">
                        <w:rPr>
                          <w:noProof/>
                          <w:lang w:eastAsia="en-GB"/>
                        </w:rPr>
                        <w:drawing>
                          <wp:inline distT="0" distB="0" distL="0" distR="0" wp14:anchorId="3FAE2E7E" wp14:editId="183A6A1F">
                            <wp:extent cx="1102995" cy="1072829"/>
                            <wp:effectExtent l="19050" t="0" r="1905" b="0"/>
                            <wp:docPr id="31" name="Picture 4"/>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3" cstate="print"/>
                                    <a:srcRect/>
                                    <a:stretch>
                                      <a:fillRect/>
                                    </a:stretch>
                                  </pic:blipFill>
                                  <pic:spPr bwMode="auto">
                                    <a:xfrm>
                                      <a:off x="0" y="0"/>
                                      <a:ext cx="1102995" cy="1072829"/>
                                    </a:xfrm>
                                    <a:prstGeom prst="rect">
                                      <a:avLst/>
                                    </a:prstGeom>
                                    <a:noFill/>
                                    <a:ln w="9525">
                                      <a:noFill/>
                                      <a:miter lim="800000"/>
                                      <a:headEnd/>
                                      <a:tailEnd/>
                                    </a:ln>
                                    <a:effectLst/>
                                  </pic:spPr>
                                </pic:pic>
                              </a:graphicData>
                            </a:graphic>
                          </wp:inline>
                        </w:drawing>
                      </w:r>
                    </w:p>
                  </w:txbxContent>
                </v:textbox>
              </v:shape>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75648" behindDoc="0" locked="0" layoutInCell="1" allowOverlap="1" wp14:anchorId="3F55EAE0" wp14:editId="5E206186">
                <wp:simplePos x="0" y="0"/>
                <wp:positionH relativeFrom="column">
                  <wp:posOffset>2333625</wp:posOffset>
                </wp:positionH>
                <wp:positionV relativeFrom="paragraph">
                  <wp:posOffset>4587240</wp:posOffset>
                </wp:positionV>
                <wp:extent cx="1562100" cy="1562100"/>
                <wp:effectExtent l="257175" t="262890" r="257175" b="260985"/>
                <wp:wrapNone/>
                <wp:docPr id="13320" name="AutoShape 1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rot="2700000">
                          <a:off x="0" y="0"/>
                          <a:ext cx="1562100" cy="1562100"/>
                        </a:xfrm>
                        <a:prstGeom prst="roundRect">
                          <a:avLst>
                            <a:gd name="adj" fmla="val 16667"/>
                          </a:avLst>
                        </a:prstGeom>
                        <a:solidFill>
                          <a:sysClr val="window" lastClr="FFFFFF">
                            <a:lumMod val="50000"/>
                            <a:lumOff val="0"/>
                          </a:sysClr>
                        </a:solidFill>
                        <a:ln w="25400">
                          <a:solidFill>
                            <a:sysClr val="window" lastClr="FFFFFF">
                              <a:lumMod val="50000"/>
                              <a:lumOff val="0"/>
                            </a:sysClr>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2F23870" id="AutoShape 129" o:spid="_x0000_s1026" style="position:absolute;margin-left:183.75pt;margin-top:361.2pt;width:123pt;height:123pt;rotation:45;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" fillcolor="#7f7f7f" strokecolor="#7f7f7f" strokeweight="2pt">
                <v:path arrowok="t"/>
                <o:lock v:ext="edit" aspectratio="t"/>
              </v:roundrect>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81792" behindDoc="0" locked="0" layoutInCell="1" allowOverlap="1" wp14:anchorId="1B4A3CD4" wp14:editId="0A0C611E">
                <wp:simplePos x="0" y="0"/>
                <wp:positionH relativeFrom="column">
                  <wp:posOffset>3578860</wp:posOffset>
                </wp:positionH>
                <wp:positionV relativeFrom="paragraph">
                  <wp:posOffset>3383280</wp:posOffset>
                </wp:positionV>
                <wp:extent cx="1562100" cy="1562100"/>
                <wp:effectExtent l="228600" t="228600" r="228600" b="228600"/>
                <wp:wrapNone/>
                <wp:docPr id="13319" name="Rounded Rectangl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2700000">
                          <a:off x="0" y="0"/>
                          <a:ext cx="1562100" cy="1562100"/>
                        </a:xfrm>
                        <a:prstGeom prst="roundRect">
                          <a:avLst/>
                        </a:prstGeom>
                        <a:solidFill>
                          <a:srgbClr val="006600"/>
                        </a:solidFill>
                        <a:ln w="25400" cap="flat" cmpd="sng" algn="ctr">
                          <a:solidFill>
                            <a:srgbClr val="0066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596E0C" id="Rounded Rectangle 10" o:spid="_x0000_s1026" style="position:absolute;margin-left:281.8pt;margin-top:266.4pt;width:123pt;height:123pt;rotation:45;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" fillcolor="#060" strokecolor="#060" strokeweight="2pt">
                <v:path arrowok="t"/>
                <o:lock v:ext="edit" aspectratio="t"/>
              </v:roundrect>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82816" behindDoc="0" locked="0" layoutInCell="1" allowOverlap="1" wp14:anchorId="17F6760C" wp14:editId="651B5C09">
                <wp:simplePos x="0" y="0"/>
                <wp:positionH relativeFrom="column">
                  <wp:posOffset>3651885</wp:posOffset>
                </wp:positionH>
                <wp:positionV relativeFrom="paragraph">
                  <wp:posOffset>3764280</wp:posOffset>
                </wp:positionV>
                <wp:extent cx="1362075" cy="822960"/>
                <wp:effectExtent l="0" t="0" r="0" b="0"/>
                <wp:wrapNone/>
                <wp:docPr id="133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822960"/>
                        </a:xfrm>
                        <a:prstGeom prst="rect">
                          <a:avLst/>
                        </a:prstGeom>
                        <a:noFill/>
                        <a:ln w="9525">
                          <a:noFill/>
                          <a:miter lim="800000"/>
                          <a:headEnd/>
                          <a:tailEnd/>
                        </a:ln>
                      </wps:spPr>
                      <wps:txbx>
                        <w:txbxContent>
                          <w:p w:rsidR="00721450" w:rsidRDefault="00721450" w:rsidP="006A31AE">
                            <w:pPr>
                              <w:jc w:val="center"/>
                            </w:pPr>
                            <w:r w:rsidRPr="00C42C1E">
                              <w:rPr>
                                <w:noProof/>
                                <w:lang w:eastAsia="en-GB"/>
                              </w:rPr>
                              <w:drawing>
                                <wp:inline distT="0" distB="0" distL="0" distR="0" wp14:anchorId="2EABC764" wp14:editId="0F0D19FA">
                                  <wp:extent cx="1102995" cy="691023"/>
                                  <wp:effectExtent l="19050" t="0" r="1905" b="0"/>
                                  <wp:docPr id="32"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4" cstate="print"/>
                                          <a:srcRect/>
                                          <a:stretch>
                                            <a:fillRect/>
                                          </a:stretch>
                                        </pic:blipFill>
                                        <pic:spPr bwMode="auto">
                                          <a:xfrm>
                                            <a:off x="0" y="0"/>
                                            <a:ext cx="1102995" cy="691023"/>
                                          </a:xfrm>
                                          <a:prstGeom prst="rect">
                                            <a:avLst/>
                                          </a:prstGeom>
                                          <a:noFill/>
                                          <a:ln w="9525">
                                            <a:noFill/>
                                            <a:miter lim="800000"/>
                                            <a:headEnd/>
                                            <a:tailEnd/>
                                          </a:ln>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F6760C" id="_x0000_s1030" type="#_x0000_t202" style="position:absolute;margin-left:287.55pt;margin-top:296.4pt;width:107.25pt;height:64.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" filled="f" stroked="f">
                <v:textbox>
                  <w:txbxContent>
                    <w:p w:rsidR="00721450" w:rsidRDefault="00721450" w:rsidP="006A31AE">
                      <w:pPr>
                        <w:jc w:val="center"/>
                      </w:pPr>
                      <w:r w:rsidRPr="00C42C1E">
                        <w:rPr>
                          <w:noProof/>
                          <w:lang w:eastAsia="en-GB"/>
                        </w:rPr>
                        <w:drawing>
                          <wp:inline distT="0" distB="0" distL="0" distR="0" wp14:anchorId="2EABC764" wp14:editId="0F0D19FA">
                            <wp:extent cx="1102995" cy="691023"/>
                            <wp:effectExtent l="19050" t="0" r="1905" b="0"/>
                            <wp:docPr id="32"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 cstate="print"/>
                                    <a:srcRect/>
                                    <a:stretch>
                                      <a:fillRect/>
                                    </a:stretch>
                                  </pic:blipFill>
                                  <pic:spPr bwMode="auto">
                                    <a:xfrm>
                                      <a:off x="0" y="0"/>
                                      <a:ext cx="1102995" cy="691023"/>
                                    </a:xfrm>
                                    <a:prstGeom prst="rect">
                                      <a:avLst/>
                                    </a:prstGeom>
                                    <a:noFill/>
                                    <a:ln w="9525">
                                      <a:noFill/>
                                      <a:miter lim="800000"/>
                                      <a:headEnd/>
                                      <a:tailEnd/>
                                    </a:ln>
                                    <a:effectLst/>
                                  </pic:spPr>
                                </pic:pic>
                              </a:graphicData>
                            </a:graphic>
                          </wp:inline>
                        </w:drawing>
                      </w:r>
                    </w:p>
                  </w:txbxContent>
                </v:textbox>
              </v:shape>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78720" behindDoc="0" locked="0" layoutInCell="1" allowOverlap="1" wp14:anchorId="65A6AF84" wp14:editId="46A84A85">
                <wp:simplePos x="0" y="0"/>
                <wp:positionH relativeFrom="column">
                  <wp:posOffset>2192020</wp:posOffset>
                </wp:positionH>
                <wp:positionV relativeFrom="paragraph">
                  <wp:posOffset>2272665</wp:posOffset>
                </wp:positionV>
                <wp:extent cx="1292860" cy="1333500"/>
                <wp:effectExtent l="0" t="0" r="0" b="0"/>
                <wp:wrapNone/>
                <wp:docPr id="13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860" cy="1333500"/>
                        </a:xfrm>
                        <a:prstGeom prst="rect">
                          <a:avLst/>
                        </a:prstGeom>
                        <a:noFill/>
                        <a:ln w="9525">
                          <a:noFill/>
                          <a:miter lim="800000"/>
                          <a:headEnd/>
                          <a:tailEnd/>
                        </a:ln>
                      </wps:spPr>
                      <wps:txbx>
                        <w:txbxContent>
                          <w:p w:rsidR="00721450" w:rsidRDefault="00721450" w:rsidP="006A31AE">
                            <w:pPr>
                              <w:jc w:val="center"/>
                            </w:pPr>
                            <w:r>
                              <w:rPr>
                                <w:rFonts w:eastAsia="Times New Roman"/>
                                <w:b/>
                                <w:bCs/>
                                <w:noProof/>
                                <w:color w:val="701471"/>
                                <w:sz w:val="32"/>
                                <w:szCs w:val="28"/>
                                <w:lang w:eastAsia="en-GB"/>
                              </w:rPr>
                              <w:drawing>
                                <wp:inline distT="0" distB="0" distL="0" distR="0" wp14:anchorId="012B65FB" wp14:editId="78F3EC60">
                                  <wp:extent cx="1114425" cy="1177745"/>
                                  <wp:effectExtent l="0" t="0" r="0" b="3810"/>
                                  <wp:docPr id="33" name="Picture 13"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16" cstate="print"/>
                                          <a:stretch>
                                            <a:fillRect/>
                                          </a:stretch>
                                        </pic:blipFill>
                                        <pic:spPr>
                                          <a:xfrm>
                                            <a:off x="0" y="0"/>
                                            <a:ext cx="1114425" cy="11777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5A6AF84" id="_x0000_s1031" type="#_x0000_t202" style="position:absolute;margin-left:172.6pt;margin-top:178.95pt;width:101.8pt;height:1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" filled="f" stroked="f">
                <v:textbox>
                  <w:txbxContent>
                    <w:p w:rsidR="00721450" w:rsidRDefault="00721450" w:rsidP="006A31AE">
                      <w:pPr>
                        <w:jc w:val="center"/>
                      </w:pPr>
                      <w:r>
                        <w:rPr>
                          <w:rFonts w:eastAsia="Times New Roman"/>
                          <w:b/>
                          <w:bCs/>
                          <w:noProof/>
                          <w:color w:val="701471"/>
                          <w:sz w:val="32"/>
                          <w:szCs w:val="28"/>
                          <w:lang w:eastAsia="en-GB"/>
                        </w:rPr>
                        <w:drawing>
                          <wp:inline distT="0" distB="0" distL="0" distR="0" wp14:anchorId="012B65FB" wp14:editId="78F3EC60">
                            <wp:extent cx="1114425" cy="1177745"/>
                            <wp:effectExtent l="0" t="0" r="0" b="3810"/>
                            <wp:docPr id="33" name="Picture 13"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17" cstate="print"/>
                                    <a:stretch>
                                      <a:fillRect/>
                                    </a:stretch>
                                  </pic:blipFill>
                                  <pic:spPr>
                                    <a:xfrm>
                                      <a:off x="0" y="0"/>
                                      <a:ext cx="1114425" cy="1177745"/>
                                    </a:xfrm>
                                    <a:prstGeom prst="rect">
                                      <a:avLst/>
                                    </a:prstGeom>
                                  </pic:spPr>
                                </pic:pic>
                              </a:graphicData>
                            </a:graphic>
                          </wp:inline>
                        </w:drawing>
                      </w:r>
                    </w:p>
                  </w:txbxContent>
                </v:textbox>
              </v:shape>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66432" behindDoc="0" locked="0" layoutInCell="1" allowOverlap="1" wp14:anchorId="413FBBEA" wp14:editId="4518D38E">
                <wp:simplePos x="0" y="0"/>
                <wp:positionH relativeFrom="column">
                  <wp:posOffset>906145</wp:posOffset>
                </wp:positionH>
                <wp:positionV relativeFrom="paragraph">
                  <wp:posOffset>3931285</wp:posOffset>
                </wp:positionV>
                <wp:extent cx="1285875" cy="1228725"/>
                <wp:effectExtent l="0" t="0" r="0" b="0"/>
                <wp:wrapNone/>
                <wp:docPr id="13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1228725"/>
                        </a:xfrm>
                        <a:prstGeom prst="rect">
                          <a:avLst/>
                        </a:prstGeom>
                        <a:noFill/>
                        <a:ln w="9525">
                          <a:noFill/>
                          <a:miter lim="800000"/>
                          <a:headEnd/>
                          <a:tailEnd/>
                        </a:ln>
                      </wps:spPr>
                      <wps:txbx>
                        <w:txbxContent>
                          <w:p w:rsidR="00721450" w:rsidRDefault="00721450" w:rsidP="006A31AE">
                            <w:pPr>
                              <w:jc w:val="center"/>
                            </w:pPr>
                            <w:r w:rsidRPr="00DE240A">
                              <w:rPr>
                                <w:noProof/>
                                <w:lang w:eastAsia="en-GB"/>
                              </w:rPr>
                              <w:drawing>
                                <wp:inline distT="0" distB="0" distL="0" distR="0" wp14:anchorId="7799FE65" wp14:editId="69C16F09">
                                  <wp:extent cx="952604" cy="1114425"/>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8" cstate="print"/>
                                          <a:srcRect/>
                                          <a:stretch>
                                            <a:fillRect/>
                                          </a:stretch>
                                        </pic:blipFill>
                                        <pic:spPr bwMode="auto">
                                          <a:xfrm>
                                            <a:off x="0" y="0"/>
                                            <a:ext cx="955301" cy="1117580"/>
                                          </a:xfrm>
                                          <a:prstGeom prst="rect">
                                            <a:avLst/>
                                          </a:prstGeom>
                                          <a:noFill/>
                                          <a:ln w="9525">
                                            <a:noFill/>
                                            <a:miter lim="800000"/>
                                            <a:headEnd/>
                                            <a:tailEnd/>
                                          </a:ln>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3FBBEA" id="_x0000_s1032" type="#_x0000_t202" style="position:absolute;margin-left:71.35pt;margin-top:309.55pt;width:101.25pt;height:96.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" filled="f" stroked="f">
                <v:textbox>
                  <w:txbxContent>
                    <w:p w:rsidR="00721450" w:rsidRDefault="00721450" w:rsidP="006A31AE">
                      <w:pPr>
                        <w:jc w:val="center"/>
                      </w:pPr>
                      <w:r w:rsidRPr="00DE240A">
                        <w:rPr>
                          <w:noProof/>
                          <w:lang w:eastAsia="en-GB"/>
                        </w:rPr>
                        <w:drawing>
                          <wp:inline distT="0" distB="0" distL="0" distR="0" wp14:anchorId="7799FE65" wp14:editId="69C16F09">
                            <wp:extent cx="952604" cy="1114425"/>
                            <wp:effectExtent l="0" t="0" r="0"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19" cstate="print"/>
                                    <a:srcRect/>
                                    <a:stretch>
                                      <a:fillRect/>
                                    </a:stretch>
                                  </pic:blipFill>
                                  <pic:spPr bwMode="auto">
                                    <a:xfrm>
                                      <a:off x="0" y="0"/>
                                      <a:ext cx="955301" cy="1117580"/>
                                    </a:xfrm>
                                    <a:prstGeom prst="rect">
                                      <a:avLst/>
                                    </a:prstGeom>
                                    <a:noFill/>
                                    <a:ln w="9525">
                                      <a:noFill/>
                                      <a:miter lim="800000"/>
                                      <a:headEnd/>
                                      <a:tailEnd/>
                                    </a:ln>
                                    <a:effectLst/>
                                  </pic:spPr>
                                </pic:pic>
                              </a:graphicData>
                            </a:graphic>
                          </wp:inline>
                        </w:drawing>
                      </w:r>
                    </w:p>
                  </w:txbxContent>
                </v:textbox>
              </v:shape>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65408" behindDoc="0" locked="0" layoutInCell="1" allowOverlap="1" wp14:anchorId="6478B65E" wp14:editId="05F90E71">
                <wp:simplePos x="0" y="0"/>
                <wp:positionH relativeFrom="column">
                  <wp:posOffset>771525</wp:posOffset>
                </wp:positionH>
                <wp:positionV relativeFrom="paragraph">
                  <wp:posOffset>3793490</wp:posOffset>
                </wp:positionV>
                <wp:extent cx="1562100" cy="1562100"/>
                <wp:effectExtent l="228600" t="228600" r="228600" b="228600"/>
                <wp:wrapNone/>
                <wp:docPr id="13315" name="Rounded Rectangle 1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2700000">
                          <a:off x="0" y="0"/>
                          <a:ext cx="1562100" cy="1562100"/>
                        </a:xfrm>
                        <a:prstGeom prst="roundRect">
                          <a:avLst/>
                        </a:prstGeom>
                        <a:solidFill>
                          <a:srgbClr val="006600"/>
                        </a:solidFill>
                        <a:ln w="25400" cap="flat" cmpd="sng" algn="ctr">
                          <a:solidFill>
                            <a:srgbClr val="0066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F1220BD" id="Rounded Rectangle 12" o:spid="_x0000_s1026" style="position:absolute;margin-left:60.75pt;margin-top:298.7pt;width:123pt;height:123pt;rotation:45;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" fillcolor="#060" strokecolor="#060" strokeweight="2pt">
                <v:path arrowok="t"/>
                <o:lock v:ext="edit" aspectratio="t"/>
              </v:roundrect>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74624" behindDoc="0" locked="0" layoutInCell="1" allowOverlap="1" wp14:anchorId="3EABB3CE" wp14:editId="5C1DCCDC">
                <wp:simplePos x="0" y="0"/>
                <wp:positionH relativeFrom="column">
                  <wp:posOffset>-333375</wp:posOffset>
                </wp:positionH>
                <wp:positionV relativeFrom="paragraph">
                  <wp:posOffset>2755265</wp:posOffset>
                </wp:positionV>
                <wp:extent cx="1494790" cy="1038225"/>
                <wp:effectExtent l="0" t="0" r="0" b="0"/>
                <wp:wrapNone/>
                <wp:docPr id="133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94790" cy="1038225"/>
                        </a:xfrm>
                        <a:prstGeom prst="rect">
                          <a:avLst/>
                        </a:prstGeom>
                        <a:noFill/>
                        <a:ln w="9525">
                          <a:noFill/>
                          <a:miter lim="800000"/>
                          <a:headEnd/>
                          <a:tailEnd/>
                        </a:ln>
                      </wps:spPr>
                      <wps:txbx>
                        <w:txbxContent>
                          <w:p w:rsidR="00721450" w:rsidRDefault="00721450" w:rsidP="006A31AE">
                            <w:pPr>
                              <w:jc w:val="center"/>
                            </w:pPr>
                            <w:r w:rsidRPr="00106210">
                              <w:rPr>
                                <w:noProof/>
                                <w:lang w:eastAsia="en-GB"/>
                              </w:rPr>
                              <w:drawing>
                                <wp:inline distT="0" distB="0" distL="0" distR="0" wp14:anchorId="2E5E4A97" wp14:editId="7260611D">
                                  <wp:extent cx="1266825" cy="933450"/>
                                  <wp:effectExtent l="19050" t="0" r="9525" b="0"/>
                                  <wp:docPr id="35" name="Picture 6"/>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0" cstate="print"/>
                                          <a:srcRect/>
                                          <a:stretch>
                                            <a:fillRect/>
                                          </a:stretch>
                                        </pic:blipFill>
                                        <pic:spPr bwMode="auto">
                                          <a:xfrm>
                                            <a:off x="0" y="0"/>
                                            <a:ext cx="1266825" cy="933450"/>
                                          </a:xfrm>
                                          <a:prstGeom prst="rect">
                                            <a:avLst/>
                                          </a:prstGeom>
                                          <a:noFill/>
                                          <a:ln w="9525">
                                            <a:noFill/>
                                            <a:miter lim="800000"/>
                                            <a:headEnd/>
                                            <a:tailEnd/>
                                          </a:ln>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EABB3CE" id="_x0000_s1033" type="#_x0000_t202" style="position:absolute;margin-left:-26.25pt;margin-top:216.95pt;width:117.7pt;height:81.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" filled="f" stroked="f">
                <v:textbox>
                  <w:txbxContent>
                    <w:p w:rsidR="00721450" w:rsidRDefault="00721450" w:rsidP="006A31AE">
                      <w:pPr>
                        <w:jc w:val="center"/>
                      </w:pPr>
                      <w:r w:rsidRPr="00106210">
                        <w:rPr>
                          <w:noProof/>
                          <w:lang w:eastAsia="en-GB"/>
                        </w:rPr>
                        <w:drawing>
                          <wp:inline distT="0" distB="0" distL="0" distR="0" wp14:anchorId="2E5E4A97" wp14:editId="7260611D">
                            <wp:extent cx="1266825" cy="933450"/>
                            <wp:effectExtent l="19050" t="0" r="9525" b="0"/>
                            <wp:docPr id="35" name="Picture 6"/>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1" cstate="print"/>
                                    <a:srcRect/>
                                    <a:stretch>
                                      <a:fillRect/>
                                    </a:stretch>
                                  </pic:blipFill>
                                  <pic:spPr bwMode="auto">
                                    <a:xfrm>
                                      <a:off x="0" y="0"/>
                                      <a:ext cx="1266825" cy="933450"/>
                                    </a:xfrm>
                                    <a:prstGeom prst="rect">
                                      <a:avLst/>
                                    </a:prstGeom>
                                    <a:noFill/>
                                    <a:ln w="9525">
                                      <a:noFill/>
                                      <a:miter lim="800000"/>
                                      <a:headEnd/>
                                      <a:tailEnd/>
                                    </a:ln>
                                    <a:effectLst/>
                                  </pic:spPr>
                                </pic:pic>
                              </a:graphicData>
                            </a:graphic>
                          </wp:inline>
                        </w:drawing>
                      </w:r>
                    </w:p>
                  </w:txbxContent>
                </v:textbox>
              </v:shape>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73600" behindDoc="0" locked="0" layoutInCell="1" allowOverlap="1" wp14:anchorId="7E490AC1" wp14:editId="532E9176">
                <wp:simplePos x="0" y="0"/>
                <wp:positionH relativeFrom="column">
                  <wp:posOffset>-400685</wp:posOffset>
                </wp:positionH>
                <wp:positionV relativeFrom="paragraph">
                  <wp:posOffset>2536825</wp:posOffset>
                </wp:positionV>
                <wp:extent cx="1562100" cy="1562100"/>
                <wp:effectExtent l="256540" t="260350" r="257810" b="254000"/>
                <wp:wrapNone/>
                <wp:docPr id="13313" name="AutoShape 1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rot="2700000">
                          <a:off x="0" y="0"/>
                          <a:ext cx="1562100" cy="1562100"/>
                        </a:xfrm>
                        <a:prstGeom prst="roundRect">
                          <a:avLst>
                            <a:gd name="adj" fmla="val 16667"/>
                          </a:avLst>
                        </a:prstGeom>
                        <a:solidFill>
                          <a:sysClr val="window" lastClr="FFFFFF">
                            <a:lumMod val="50000"/>
                            <a:lumOff val="0"/>
                          </a:sysClr>
                        </a:solidFill>
                        <a:ln w="25400">
                          <a:solidFill>
                            <a:sysClr val="window" lastClr="FFFFFF">
                              <a:lumMod val="50000"/>
                              <a:lumOff val="0"/>
                            </a:sysClr>
                          </a:solidFill>
                          <a:round/>
                          <a:headEnd/>
                          <a:tailEnd/>
                        </a:ln>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FC16621" id="AutoShape 127" o:spid="_x0000_s1026" style="position:absolute;margin-left:-31.55pt;margin-top:199.75pt;width:123pt;height:123pt;rotation:45;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" fillcolor="#7f7f7f" strokecolor="#7f7f7f" strokeweight="2pt">
                <v:path arrowok="t"/>
                <o:lock v:ext="edit" aspectratio="t"/>
              </v:roundrect>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64384" behindDoc="0" locked="0" layoutInCell="1" allowOverlap="1" wp14:anchorId="3C8F45BE" wp14:editId="5F7356C0">
                <wp:simplePos x="0" y="0"/>
                <wp:positionH relativeFrom="column">
                  <wp:posOffset>3364865</wp:posOffset>
                </wp:positionH>
                <wp:positionV relativeFrom="paragraph">
                  <wp:posOffset>690880</wp:posOffset>
                </wp:positionV>
                <wp:extent cx="1285875" cy="1228725"/>
                <wp:effectExtent l="0" t="0" r="0" b="0"/>
                <wp:wrapNone/>
                <wp:docPr id="133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1228725"/>
                        </a:xfrm>
                        <a:prstGeom prst="rect">
                          <a:avLst/>
                        </a:prstGeom>
                        <a:noFill/>
                        <a:ln w="9525">
                          <a:noFill/>
                          <a:miter lim="800000"/>
                          <a:headEnd/>
                          <a:tailEnd/>
                        </a:ln>
                      </wps:spPr>
                      <wps:txbx>
                        <w:txbxContent>
                          <w:p w:rsidR="00721450" w:rsidRDefault="00721450" w:rsidP="006A31AE">
                            <w:pPr>
                              <w:jc w:val="center"/>
                            </w:pPr>
                            <w:r w:rsidRPr="00DE240A">
                              <w:rPr>
                                <w:noProof/>
                                <w:lang w:eastAsia="en-GB"/>
                              </w:rPr>
                              <w:drawing>
                                <wp:inline distT="0" distB="0" distL="0" distR="0" wp14:anchorId="5BC976FC" wp14:editId="5AE6868D">
                                  <wp:extent cx="1039321" cy="1103152"/>
                                  <wp:effectExtent l="0" t="0" r="8890" b="1905"/>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2" cstate="print"/>
                                          <a:srcRect/>
                                          <a:stretch>
                                            <a:fillRect/>
                                          </a:stretch>
                                        </pic:blipFill>
                                        <pic:spPr bwMode="auto">
                                          <a:xfrm>
                                            <a:off x="0" y="0"/>
                                            <a:ext cx="1043258" cy="1107331"/>
                                          </a:xfrm>
                                          <a:prstGeom prst="rect">
                                            <a:avLst/>
                                          </a:prstGeom>
                                          <a:noFill/>
                                          <a:ln w="9525">
                                            <a:noFill/>
                                            <a:miter lim="800000"/>
                                            <a:headEnd/>
                                            <a:tailEnd/>
                                          </a:ln>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8F45BE" id="_x0000_s1034" type="#_x0000_t202" style="position:absolute;margin-left:264.95pt;margin-top:54.4pt;width:101.25pt;height:96.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" filled="f" stroked="f">
                <v:textbox>
                  <w:txbxContent>
                    <w:p w:rsidR="00721450" w:rsidRDefault="00721450" w:rsidP="006A31AE">
                      <w:pPr>
                        <w:jc w:val="center"/>
                      </w:pPr>
                      <w:r w:rsidRPr="00DE240A">
                        <w:rPr>
                          <w:noProof/>
                          <w:lang w:eastAsia="en-GB"/>
                        </w:rPr>
                        <w:drawing>
                          <wp:inline distT="0" distB="0" distL="0" distR="0" wp14:anchorId="5BC976FC" wp14:editId="5AE6868D">
                            <wp:extent cx="1039321" cy="1103152"/>
                            <wp:effectExtent l="0" t="0" r="8890" b="1905"/>
                            <wp:docPr id="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3" cstate="print"/>
                                    <a:srcRect/>
                                    <a:stretch>
                                      <a:fillRect/>
                                    </a:stretch>
                                  </pic:blipFill>
                                  <pic:spPr bwMode="auto">
                                    <a:xfrm>
                                      <a:off x="0" y="0"/>
                                      <a:ext cx="1043258" cy="1107331"/>
                                    </a:xfrm>
                                    <a:prstGeom prst="rect">
                                      <a:avLst/>
                                    </a:prstGeom>
                                    <a:noFill/>
                                    <a:ln w="9525">
                                      <a:noFill/>
                                      <a:miter lim="800000"/>
                                      <a:headEnd/>
                                      <a:tailEnd/>
                                    </a:ln>
                                    <a:effectLst/>
                                  </pic:spPr>
                                </pic:pic>
                              </a:graphicData>
                            </a:graphic>
                          </wp:inline>
                        </w:drawing>
                      </w:r>
                    </w:p>
                  </w:txbxContent>
                </v:textbox>
              </v:shape>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63360" behindDoc="0" locked="0" layoutInCell="1" allowOverlap="1" wp14:anchorId="66D3DD96" wp14:editId="68E8BB86">
                <wp:simplePos x="0" y="0"/>
                <wp:positionH relativeFrom="column">
                  <wp:posOffset>3238500</wp:posOffset>
                </wp:positionH>
                <wp:positionV relativeFrom="paragraph">
                  <wp:posOffset>542925</wp:posOffset>
                </wp:positionV>
                <wp:extent cx="1562100" cy="1562100"/>
                <wp:effectExtent l="228600" t="228600" r="228600" b="228600"/>
                <wp:wrapNone/>
                <wp:docPr id="2051" name="Rounded Rectangl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2700000">
                          <a:off x="0" y="0"/>
                          <a:ext cx="1562100" cy="1562100"/>
                        </a:xfrm>
                        <a:prstGeom prst="roundRect">
                          <a:avLst/>
                        </a:prstGeom>
                        <a:solidFill>
                          <a:srgbClr val="006600"/>
                        </a:solidFill>
                        <a:ln w="25400" cap="flat" cmpd="sng" algn="ctr">
                          <a:solidFill>
                            <a:srgbClr val="0066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29AC4A3" id="Rounded Rectangle 10" o:spid="_x0000_s1026" style="position:absolute;margin-left:255pt;margin-top:42.75pt;width:123pt;height:123pt;rotation:45;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" fillcolor="#060" strokecolor="#060" strokeweight="2pt">
                <v:path arrowok="t"/>
                <o:lock v:ext="edit" aspectratio="t"/>
              </v:roundrect>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69504" behindDoc="0" locked="0" layoutInCell="1" allowOverlap="1" wp14:anchorId="436F036F" wp14:editId="14E3878D">
                <wp:simplePos x="0" y="0"/>
                <wp:positionH relativeFrom="column">
                  <wp:posOffset>704215</wp:posOffset>
                </wp:positionH>
                <wp:positionV relativeFrom="paragraph">
                  <wp:posOffset>1015365</wp:posOffset>
                </wp:positionV>
                <wp:extent cx="1267460" cy="1257300"/>
                <wp:effectExtent l="0" t="0" r="0" b="0"/>
                <wp:wrapNone/>
                <wp:docPr id="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7460" cy="1257300"/>
                        </a:xfrm>
                        <a:prstGeom prst="rect">
                          <a:avLst/>
                        </a:prstGeom>
                        <a:noFill/>
                        <a:ln w="9525">
                          <a:noFill/>
                          <a:miter lim="800000"/>
                          <a:headEnd/>
                          <a:tailEnd/>
                        </a:ln>
                      </wps:spPr>
                      <wps:txbx>
                        <w:txbxContent>
                          <w:p w:rsidR="00721450" w:rsidRDefault="00721450" w:rsidP="006A31AE">
                            <w:pPr>
                              <w:jc w:val="center"/>
                            </w:pPr>
                            <w:r w:rsidRPr="00C42C1E">
                              <w:rPr>
                                <w:noProof/>
                                <w:lang w:eastAsia="en-GB"/>
                              </w:rPr>
                              <w:drawing>
                                <wp:inline distT="0" distB="0" distL="0" distR="0" wp14:anchorId="6F16AABE" wp14:editId="53A13980">
                                  <wp:extent cx="1000125" cy="1171575"/>
                                  <wp:effectExtent l="19050" t="0" r="9525" b="0"/>
                                  <wp:docPr id="37" name="Picture 2"/>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24" cstate="print"/>
                                          <a:srcRect/>
                                          <a:stretch>
                                            <a:fillRect/>
                                          </a:stretch>
                                        </pic:blipFill>
                                        <pic:spPr bwMode="auto">
                                          <a:xfrm>
                                            <a:off x="0" y="0"/>
                                            <a:ext cx="1000125" cy="1171575"/>
                                          </a:xfrm>
                                          <a:prstGeom prst="rect">
                                            <a:avLst/>
                                          </a:prstGeom>
                                          <a:noFill/>
                                          <a:ln w="9525">
                                            <a:noFill/>
                                            <a:miter lim="800000"/>
                                            <a:headEnd/>
                                            <a:tailEnd/>
                                          </a:ln>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6F036F" id="_x0000_s1035" type="#_x0000_t202" style="position:absolute;margin-left:55.45pt;margin-top:79.95pt;width:99.8pt;height:9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" filled="f" stroked="f">
                <v:textbox>
                  <w:txbxContent>
                    <w:p w:rsidR="00721450" w:rsidRDefault="00721450" w:rsidP="006A31AE">
                      <w:pPr>
                        <w:jc w:val="center"/>
                      </w:pPr>
                      <w:r w:rsidRPr="00C42C1E">
                        <w:rPr>
                          <w:noProof/>
                          <w:lang w:eastAsia="en-GB"/>
                        </w:rPr>
                        <w:drawing>
                          <wp:inline distT="0" distB="0" distL="0" distR="0" wp14:anchorId="6F16AABE" wp14:editId="53A13980">
                            <wp:extent cx="1000125" cy="1171575"/>
                            <wp:effectExtent l="19050" t="0" r="9525" b="0"/>
                            <wp:docPr id="37" name="Picture 2"/>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25" cstate="print"/>
                                    <a:srcRect/>
                                    <a:stretch>
                                      <a:fillRect/>
                                    </a:stretch>
                                  </pic:blipFill>
                                  <pic:spPr bwMode="auto">
                                    <a:xfrm>
                                      <a:off x="0" y="0"/>
                                      <a:ext cx="1000125" cy="1171575"/>
                                    </a:xfrm>
                                    <a:prstGeom prst="rect">
                                      <a:avLst/>
                                    </a:prstGeom>
                                    <a:noFill/>
                                    <a:ln w="9525">
                                      <a:noFill/>
                                      <a:miter lim="800000"/>
                                      <a:headEnd/>
                                      <a:tailEnd/>
                                    </a:ln>
                                    <a:effectLst/>
                                  </pic:spPr>
                                </pic:pic>
                              </a:graphicData>
                            </a:graphic>
                          </wp:inline>
                        </w:drawing>
                      </w:r>
                    </w:p>
                  </w:txbxContent>
                </v:textbox>
              </v:shape>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67456" behindDoc="0" locked="0" layoutInCell="1" allowOverlap="1" wp14:anchorId="77D3F7F9" wp14:editId="19DCFDCD">
                <wp:simplePos x="0" y="0"/>
                <wp:positionH relativeFrom="column">
                  <wp:posOffset>466090</wp:posOffset>
                </wp:positionH>
                <wp:positionV relativeFrom="paragraph">
                  <wp:posOffset>886460</wp:posOffset>
                </wp:positionV>
                <wp:extent cx="1562100" cy="1562100"/>
                <wp:effectExtent l="228600" t="228600" r="228600" b="228600"/>
                <wp:wrapNone/>
                <wp:docPr id="100" name="Rounded Rectangle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2700000">
                          <a:off x="0" y="0"/>
                          <a:ext cx="1562100" cy="1562100"/>
                        </a:xfrm>
                        <a:prstGeom prst="roundRect">
                          <a:avLst/>
                        </a:prstGeom>
                        <a:solidFill>
                          <a:srgbClr val="006600"/>
                        </a:solidFill>
                        <a:ln w="25400" cap="flat" cmpd="sng" algn="ctr">
                          <a:solidFill>
                            <a:srgbClr val="0066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4A3F0B" id="Rounded Rectangle 10" o:spid="_x0000_s1026" style="position:absolute;margin-left:36.7pt;margin-top:69.8pt;width:123pt;height:123pt;rotation:45;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" fillcolor="#060" strokecolor="#060" strokeweight="2pt">
                <v:path arrowok="t"/>
                <o:lock v:ext="edit" aspectratio="t"/>
              </v:roundrect>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77696" behindDoc="0" locked="0" layoutInCell="1" allowOverlap="1" wp14:anchorId="4E015C24" wp14:editId="2538B389">
                <wp:simplePos x="0" y="0"/>
                <wp:positionH relativeFrom="column">
                  <wp:posOffset>1745615</wp:posOffset>
                </wp:positionH>
                <wp:positionV relativeFrom="paragraph">
                  <wp:posOffset>1844675</wp:posOffset>
                </wp:positionV>
                <wp:extent cx="2084070" cy="2084070"/>
                <wp:effectExtent l="304800" t="304800" r="316230" b="316230"/>
                <wp:wrapNone/>
                <wp:docPr id="99" name="Rounded 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700000">
                          <a:off x="0" y="0"/>
                          <a:ext cx="2084070" cy="2084070"/>
                        </a:xfrm>
                        <a:prstGeom prst="roundRect">
                          <a:avLst/>
                        </a:prstGeom>
                        <a:solidFill>
                          <a:srgbClr val="701471"/>
                        </a:solidFill>
                        <a:ln w="25400" cap="flat" cmpd="sng" algn="ctr">
                          <a:solidFill>
                            <a:srgbClr val="70147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363255" id="Rounded Rectangle 7" o:spid="_x0000_s1026" style="position:absolute;margin-left:137.45pt;margin-top:145.25pt;width:164.1pt;height:164.1pt;rotation:45;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" fillcolor="#701471" strokecolor="#701471" strokeweight="2pt">
                <v:path arrowok="t"/>
              </v:roundrect>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70528" behindDoc="0" locked="0" layoutInCell="1" allowOverlap="1" wp14:anchorId="0B4C5C2D" wp14:editId="0B78CFD1">
                <wp:simplePos x="0" y="0"/>
                <wp:positionH relativeFrom="column">
                  <wp:posOffset>4540250</wp:posOffset>
                </wp:positionH>
                <wp:positionV relativeFrom="paragraph">
                  <wp:posOffset>1963420</wp:posOffset>
                </wp:positionV>
                <wp:extent cx="1409700" cy="1228725"/>
                <wp:effectExtent l="0" t="0" r="0" b="0"/>
                <wp:wrapNone/>
                <wp:docPr id="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1228725"/>
                        </a:xfrm>
                        <a:prstGeom prst="rect">
                          <a:avLst/>
                        </a:prstGeom>
                        <a:noFill/>
                        <a:ln w="9525">
                          <a:noFill/>
                          <a:miter lim="800000"/>
                          <a:headEnd/>
                          <a:tailEnd/>
                        </a:ln>
                      </wps:spPr>
                      <wps:txbx>
                        <w:txbxContent>
                          <w:p w:rsidR="00721450" w:rsidRDefault="00721450" w:rsidP="006A31AE">
                            <w:pPr>
                              <w:jc w:val="center"/>
                            </w:pPr>
                            <w:r w:rsidRPr="00C42C1E">
                              <w:rPr>
                                <w:noProof/>
                                <w:lang w:eastAsia="en-GB"/>
                              </w:rPr>
                              <w:drawing>
                                <wp:inline distT="0" distB="0" distL="0" distR="0" wp14:anchorId="2B8B7F39" wp14:editId="219C6562">
                                  <wp:extent cx="1102995" cy="1035255"/>
                                  <wp:effectExtent l="19050" t="0" r="1905" b="0"/>
                                  <wp:docPr id="38" name="Picture 3"/>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1" cstate="print"/>
                                          <a:srcRect/>
                                          <a:stretch>
                                            <a:fillRect/>
                                          </a:stretch>
                                        </pic:blipFill>
                                        <pic:spPr bwMode="auto">
                                          <a:xfrm>
                                            <a:off x="0" y="0"/>
                                            <a:ext cx="1102995" cy="1035255"/>
                                          </a:xfrm>
                                          <a:prstGeom prst="rect">
                                            <a:avLst/>
                                          </a:prstGeom>
                                          <a:noFill/>
                                          <a:ln w="9525">
                                            <a:noFill/>
                                            <a:miter lim="800000"/>
                                            <a:headEnd/>
                                            <a:tailEnd/>
                                          </a:ln>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4C5C2D" id="_x0000_s1036" type="#_x0000_t202" style="position:absolute;margin-left:357.5pt;margin-top:154.6pt;width:111pt;height:96.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" filled="f" stroked="f">
                <v:textbox>
                  <w:txbxContent>
                    <w:p w:rsidR="00721450" w:rsidRDefault="00721450" w:rsidP="006A31AE">
                      <w:pPr>
                        <w:jc w:val="center"/>
                      </w:pPr>
                      <w:r w:rsidRPr="00C42C1E">
                        <w:rPr>
                          <w:noProof/>
                          <w:lang w:eastAsia="en-GB"/>
                        </w:rPr>
                        <w:drawing>
                          <wp:inline distT="0" distB="0" distL="0" distR="0" wp14:anchorId="2B8B7F39" wp14:editId="219C6562">
                            <wp:extent cx="1102995" cy="1035255"/>
                            <wp:effectExtent l="19050" t="0" r="1905" b="0"/>
                            <wp:docPr id="38" name="Picture 3"/>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1" cstate="print"/>
                                    <a:srcRect/>
                                    <a:stretch>
                                      <a:fillRect/>
                                    </a:stretch>
                                  </pic:blipFill>
                                  <pic:spPr bwMode="auto">
                                    <a:xfrm>
                                      <a:off x="0" y="0"/>
                                      <a:ext cx="1102995" cy="1035255"/>
                                    </a:xfrm>
                                    <a:prstGeom prst="rect">
                                      <a:avLst/>
                                    </a:prstGeom>
                                    <a:noFill/>
                                    <a:ln w="9525">
                                      <a:noFill/>
                                      <a:miter lim="800000"/>
                                      <a:headEnd/>
                                      <a:tailEnd/>
                                    </a:ln>
                                    <a:effectLst/>
                                  </pic:spPr>
                                </pic:pic>
                              </a:graphicData>
                            </a:graphic>
                          </wp:inline>
                        </w:drawing>
                      </w:r>
                    </w:p>
                  </w:txbxContent>
                </v:textbox>
              </v:shape>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68480" behindDoc="0" locked="0" layoutInCell="1" allowOverlap="1" wp14:anchorId="34C93182" wp14:editId="257D24FD">
                <wp:simplePos x="0" y="0"/>
                <wp:positionH relativeFrom="column">
                  <wp:posOffset>3705860</wp:posOffset>
                </wp:positionH>
                <wp:positionV relativeFrom="paragraph">
                  <wp:posOffset>3724275</wp:posOffset>
                </wp:positionV>
                <wp:extent cx="1362075" cy="822960"/>
                <wp:effectExtent l="0" t="0" r="0" b="0"/>
                <wp:wrapNone/>
                <wp:docPr id="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075" cy="822960"/>
                        </a:xfrm>
                        <a:prstGeom prst="rect">
                          <a:avLst/>
                        </a:prstGeom>
                        <a:noFill/>
                        <a:ln w="9525">
                          <a:noFill/>
                          <a:miter lim="800000"/>
                          <a:headEnd/>
                          <a:tailEnd/>
                        </a:ln>
                      </wps:spPr>
                      <wps:txbx>
                        <w:txbxContent>
                          <w:p w:rsidR="00721450" w:rsidRDefault="00721450" w:rsidP="006A31AE">
                            <w:pPr>
                              <w:jc w:val="center"/>
                            </w:pPr>
                            <w:r w:rsidRPr="00C42C1E">
                              <w:rPr>
                                <w:noProof/>
                                <w:lang w:eastAsia="en-GB"/>
                              </w:rPr>
                              <w:drawing>
                                <wp:inline distT="0" distB="0" distL="0" distR="0" wp14:anchorId="309664E0" wp14:editId="14A8ABBC">
                                  <wp:extent cx="1102995" cy="691023"/>
                                  <wp:effectExtent l="19050" t="0" r="1905" b="0"/>
                                  <wp:docPr id="39"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 cstate="print"/>
                                          <a:srcRect/>
                                          <a:stretch>
                                            <a:fillRect/>
                                          </a:stretch>
                                        </pic:blipFill>
                                        <pic:spPr bwMode="auto">
                                          <a:xfrm>
                                            <a:off x="0" y="0"/>
                                            <a:ext cx="1102995" cy="691023"/>
                                          </a:xfrm>
                                          <a:prstGeom prst="rect">
                                            <a:avLst/>
                                          </a:prstGeom>
                                          <a:noFill/>
                                          <a:ln w="9525">
                                            <a:noFill/>
                                            <a:miter lim="800000"/>
                                            <a:headEnd/>
                                            <a:tailEnd/>
                                          </a:ln>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C93182" id="_x0000_s1037" type="#_x0000_t202" style="position:absolute;margin-left:291.8pt;margin-top:293.25pt;width:107.25pt;height:64.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" filled="f" stroked="f">
                <v:textbox>
                  <w:txbxContent>
                    <w:p w:rsidR="00721450" w:rsidRDefault="00721450" w:rsidP="006A31AE">
                      <w:pPr>
                        <w:jc w:val="center"/>
                      </w:pPr>
                      <w:r w:rsidRPr="00C42C1E">
                        <w:rPr>
                          <w:noProof/>
                          <w:lang w:eastAsia="en-GB"/>
                        </w:rPr>
                        <w:drawing>
                          <wp:inline distT="0" distB="0" distL="0" distR="0" wp14:anchorId="309664E0" wp14:editId="14A8ABBC">
                            <wp:extent cx="1102995" cy="691023"/>
                            <wp:effectExtent l="19050" t="0" r="1905" b="0"/>
                            <wp:docPr id="39"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 cstate="print"/>
                                    <a:srcRect/>
                                    <a:stretch>
                                      <a:fillRect/>
                                    </a:stretch>
                                  </pic:blipFill>
                                  <pic:spPr bwMode="auto">
                                    <a:xfrm>
                                      <a:off x="0" y="0"/>
                                      <a:ext cx="1102995" cy="691023"/>
                                    </a:xfrm>
                                    <a:prstGeom prst="rect">
                                      <a:avLst/>
                                    </a:prstGeom>
                                    <a:noFill/>
                                    <a:ln w="9525">
                                      <a:noFill/>
                                      <a:miter lim="800000"/>
                                      <a:headEnd/>
                                      <a:tailEnd/>
                                    </a:ln>
                                    <a:effectLst/>
                                  </pic:spPr>
                                </pic:pic>
                              </a:graphicData>
                            </a:graphic>
                          </wp:inline>
                        </w:drawing>
                      </w:r>
                    </w:p>
                  </w:txbxContent>
                </v:textbox>
              </v:shape>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62336" behindDoc="0" locked="0" layoutInCell="1" allowOverlap="1" wp14:anchorId="4D00D2CE" wp14:editId="33A3FAF5">
                <wp:simplePos x="0" y="0"/>
                <wp:positionH relativeFrom="column">
                  <wp:posOffset>2193290</wp:posOffset>
                </wp:positionH>
                <wp:positionV relativeFrom="paragraph">
                  <wp:posOffset>2279650</wp:posOffset>
                </wp:positionV>
                <wp:extent cx="1209675" cy="1223645"/>
                <wp:effectExtent l="0" t="0" r="0" b="0"/>
                <wp:wrapNone/>
                <wp:docPr id="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9675" cy="1223645"/>
                        </a:xfrm>
                        <a:prstGeom prst="rect">
                          <a:avLst/>
                        </a:prstGeom>
                        <a:noFill/>
                        <a:ln w="9525">
                          <a:noFill/>
                          <a:miter lim="800000"/>
                          <a:headEnd/>
                          <a:tailEnd/>
                        </a:ln>
                      </wps:spPr>
                      <wps:txbx>
                        <w:txbxContent>
                          <w:p w:rsidR="00721450" w:rsidRDefault="00721450" w:rsidP="006A31AE">
                            <w:pPr>
                              <w:jc w:val="center"/>
                            </w:pPr>
                            <w:r>
                              <w:rPr>
                                <w:rFonts w:eastAsia="Times New Roman"/>
                                <w:b/>
                                <w:bCs/>
                                <w:noProof/>
                                <w:color w:val="701471"/>
                                <w:sz w:val="32"/>
                                <w:szCs w:val="28"/>
                                <w:lang w:eastAsia="en-GB"/>
                              </w:rPr>
                              <w:drawing>
                                <wp:inline distT="0" distB="0" distL="0" distR="0" wp14:anchorId="67AF7AF4" wp14:editId="520CCFA9">
                                  <wp:extent cx="1114425" cy="1177745"/>
                                  <wp:effectExtent l="0" t="0" r="0" b="3810"/>
                                  <wp:docPr id="40" name="Picture 13"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17" cstate="print"/>
                                          <a:stretch>
                                            <a:fillRect/>
                                          </a:stretch>
                                        </pic:blipFill>
                                        <pic:spPr>
                                          <a:xfrm>
                                            <a:off x="0" y="0"/>
                                            <a:ext cx="1114425" cy="117774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00D2CE" id="_x0000_s1038" type="#_x0000_t202" style="position:absolute;margin-left:172.7pt;margin-top:179.5pt;width:95.25pt;height:96.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" filled="f" stroked="f">
                <v:textbox>
                  <w:txbxContent>
                    <w:p w:rsidR="00721450" w:rsidRDefault="00721450" w:rsidP="006A31AE">
                      <w:pPr>
                        <w:jc w:val="center"/>
                      </w:pPr>
                      <w:r>
                        <w:rPr>
                          <w:rFonts w:eastAsia="Times New Roman"/>
                          <w:b/>
                          <w:bCs/>
                          <w:noProof/>
                          <w:color w:val="701471"/>
                          <w:sz w:val="32"/>
                          <w:szCs w:val="28"/>
                          <w:lang w:eastAsia="en-GB"/>
                        </w:rPr>
                        <w:drawing>
                          <wp:inline distT="0" distB="0" distL="0" distR="0" wp14:anchorId="67AF7AF4" wp14:editId="520CCFA9">
                            <wp:extent cx="1114425" cy="1177745"/>
                            <wp:effectExtent l="0" t="0" r="0" b="3810"/>
                            <wp:docPr id="40" name="Picture 13"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17" cstate="print"/>
                                    <a:stretch>
                                      <a:fillRect/>
                                    </a:stretch>
                                  </pic:blipFill>
                                  <pic:spPr>
                                    <a:xfrm>
                                      <a:off x="0" y="0"/>
                                      <a:ext cx="1114425" cy="1177745"/>
                                    </a:xfrm>
                                    <a:prstGeom prst="rect">
                                      <a:avLst/>
                                    </a:prstGeom>
                                  </pic:spPr>
                                </pic:pic>
                              </a:graphicData>
                            </a:graphic>
                          </wp:inline>
                        </w:drawing>
                      </w:r>
                    </w:p>
                  </w:txbxContent>
                </v:textbox>
              </v:shape>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59264" behindDoc="0" locked="0" layoutInCell="1" allowOverlap="1" wp14:anchorId="34DF65D7" wp14:editId="7952C4F7">
                <wp:simplePos x="0" y="0"/>
                <wp:positionH relativeFrom="column">
                  <wp:posOffset>1745615</wp:posOffset>
                </wp:positionH>
                <wp:positionV relativeFrom="paragraph">
                  <wp:posOffset>1954530</wp:posOffset>
                </wp:positionV>
                <wp:extent cx="2084070" cy="2084070"/>
                <wp:effectExtent l="304800" t="304800" r="316230" b="316230"/>
                <wp:wrapNone/>
                <wp:docPr id="92" name="Rounded 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2700000">
                          <a:off x="0" y="0"/>
                          <a:ext cx="2084070" cy="2084070"/>
                        </a:xfrm>
                        <a:prstGeom prst="roundRect">
                          <a:avLst/>
                        </a:prstGeom>
                        <a:solidFill>
                          <a:srgbClr val="701471"/>
                        </a:solidFill>
                        <a:ln w="25400" cap="flat" cmpd="sng" algn="ctr">
                          <a:solidFill>
                            <a:srgbClr val="70147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DA6CF1" id="Rounded Rectangle 7" o:spid="_x0000_s1026" style="position:absolute;margin-left:137.45pt;margin-top:153.9pt;width:164.1pt;height:164.1pt;rotation:45;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" fillcolor="#701471" strokecolor="#701471" strokeweight="2pt">
                <v:path arrowok="t"/>
              </v:roundrect>
            </w:pict>
          </mc:Fallback>
        </mc:AlternateContent>
      </w:r>
      <w:r w:rsidR="006A31AE" w:rsidRPr="006A31AE">
        <w:rPr>
          <w:rFonts w:ascii="Arial" w:eastAsia="Calibri" w:hAnsi="Arial" w:cs="Arial"/>
          <w:noProof/>
          <w:sz w:val="24"/>
          <w:szCs w:val="24"/>
          <w:lang w:eastAsia="en-GB"/>
        </w:rPr>
        <mc:AlternateContent>
          <mc:Choice Requires="wps">
            <w:drawing>
              <wp:anchor distT="0" distB="0" distL="114300" distR="114300" simplePos="0" relativeHeight="251661312" behindDoc="0" locked="0" layoutInCell="1" allowOverlap="1" wp14:anchorId="775B2C17" wp14:editId="7FB77200">
                <wp:simplePos x="0" y="0"/>
                <wp:positionH relativeFrom="column">
                  <wp:posOffset>5949315</wp:posOffset>
                </wp:positionH>
                <wp:positionV relativeFrom="paragraph">
                  <wp:posOffset>3133725</wp:posOffset>
                </wp:positionV>
                <wp:extent cx="3543935" cy="1202690"/>
                <wp:effectExtent l="0" t="0" r="0" b="0"/>
                <wp:wrapNone/>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935" cy="1202690"/>
                        </a:xfrm>
                        <a:prstGeom prst="rect">
                          <a:avLst/>
                        </a:prstGeom>
                        <a:noFill/>
                        <a:ln w="9525">
                          <a:noFill/>
                          <a:miter lim="800000"/>
                          <a:headEnd/>
                          <a:tailEnd/>
                        </a:ln>
                      </wps:spPr>
                      <wps:txbx>
                        <w:txbxContent>
                          <w:p w:rsidR="00721450" w:rsidRDefault="00721450" w:rsidP="006A31AE">
                            <w:pPr>
                              <w:jc w:val="center"/>
                            </w:pPr>
                            <w:r>
                              <w:rPr>
                                <w:noProof/>
                                <w:lang w:eastAsia="en-GB"/>
                              </w:rPr>
                              <w:drawing>
                                <wp:inline distT="0" distB="0" distL="0" distR="0" wp14:anchorId="4D5E35E9" wp14:editId="32470A94">
                                  <wp:extent cx="3209376" cy="958645"/>
                                  <wp:effectExtent l="19050" t="0" r="0" b="0"/>
                                  <wp:docPr id="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P logo.png"/>
                                          <pic:cNvPicPr/>
                                        </pic:nvPicPr>
                                        <pic:blipFill>
                                          <a:blip r:embed="rId26">
                                            <a:extLst>
                                              <a:ext uri="{28A0092B-C50C-407E-A947-70E740481C1C}">
                                                <a14:useLocalDpi xmlns:a14="http://schemas.microsoft.com/office/drawing/2010/main" val="0"/>
                                              </a:ext>
                                            </a:extLst>
                                          </a:blip>
                                          <a:stretch>
                                            <a:fillRect/>
                                          </a:stretch>
                                        </pic:blipFill>
                                        <pic:spPr>
                                          <a:xfrm>
                                            <a:off x="0" y="0"/>
                                            <a:ext cx="3232044" cy="965416"/>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75B2C17" id="_x0000_s1039" type="#_x0000_t202" style="position:absolute;margin-left:468.45pt;margin-top:246.75pt;width:279.05pt;height:94.7pt;z-index:25166131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" filled="f" stroked="f">
                <v:textbox style="mso-fit-shape-to-text:t">
                  <w:txbxContent>
                    <w:p w:rsidR="00721450" w:rsidRDefault="00721450" w:rsidP="006A31AE">
                      <w:pPr>
                        <w:jc w:val="center"/>
                      </w:pPr>
                      <w:r>
                        <w:rPr>
                          <w:noProof/>
                          <w:lang w:eastAsia="en-GB"/>
                        </w:rPr>
                        <w:drawing>
                          <wp:inline distT="0" distB="0" distL="0" distR="0" wp14:anchorId="4D5E35E9" wp14:editId="32470A94">
                            <wp:extent cx="3209376" cy="958645"/>
                            <wp:effectExtent l="19050" t="0" r="0" b="0"/>
                            <wp:docPr id="4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SP logo.png"/>
                                    <pic:cNvPicPr/>
                                  </pic:nvPicPr>
                                  <pic:blipFill>
                                    <a:blip r:embed="rId27">
                                      <a:extLst>
                                        <a:ext uri="{28A0092B-C50C-407E-A947-70E740481C1C}">
                                          <a14:useLocalDpi xmlns:a14="http://schemas.microsoft.com/office/drawing/2010/main" val="0"/>
                                        </a:ext>
                                      </a:extLst>
                                    </a:blip>
                                    <a:stretch>
                                      <a:fillRect/>
                                    </a:stretch>
                                  </pic:blipFill>
                                  <pic:spPr>
                                    <a:xfrm>
                                      <a:off x="0" y="0"/>
                                      <a:ext cx="3232044" cy="965416"/>
                                    </a:xfrm>
                                    <a:prstGeom prst="rect">
                                      <a:avLst/>
                                    </a:prstGeom>
                                  </pic:spPr>
                                </pic:pic>
                              </a:graphicData>
                            </a:graphic>
                          </wp:inline>
                        </w:drawing>
                      </w:r>
                    </w:p>
                  </w:txbxContent>
                </v:textbox>
              </v:shape>
            </w:pict>
          </mc:Fallback>
        </mc:AlternateContent>
      </w:r>
    </w:p>
    <w:p w:rsidR="006A31AE" w:rsidRPr="006A31AE" w:rsidRDefault="006A31AE" w:rsidP="006A31AE">
      <w:pPr>
        <w:spacing w:after="0" w:line="240" w:lineRule="auto"/>
        <w:rPr>
          <w:rFonts w:ascii="Arial" w:eastAsia="Times New Roman" w:hAnsi="Arial" w:cs="Arial"/>
          <w:b/>
          <w:bCs/>
          <w:noProof/>
          <w:color w:val="701471"/>
          <w:sz w:val="32"/>
          <w:szCs w:val="28"/>
          <w:lang w:eastAsia="en-GB"/>
        </w:rPr>
        <w:sectPr w:rsidR="006A31AE" w:rsidRPr="006A31AE" w:rsidSect="006A31AE">
          <w:headerReference w:type="default" r:id="rId28"/>
          <w:footerReference w:type="default" r:id="rId29"/>
          <w:headerReference w:type="first" r:id="rId30"/>
          <w:pgSz w:w="16838" w:h="11906" w:orient="landscape"/>
          <w:pgMar w:top="1440" w:right="1440" w:bottom="1440" w:left="1440" w:header="709" w:footer="709" w:gutter="0"/>
          <w:cols w:num="2" w:space="708"/>
          <w:docGrid w:linePitch="360"/>
        </w:sectPr>
      </w:pPr>
    </w:p>
    <w:p w:rsidR="00F56F06" w:rsidRDefault="00F56F06" w:rsidP="006A31AE">
      <w:pPr>
        <w:spacing w:after="0" w:line="240" w:lineRule="auto"/>
        <w:rPr>
          <w:rFonts w:ascii="Arial" w:eastAsia="Times New Roman" w:hAnsi="Arial" w:cs="Arial"/>
          <w:b/>
          <w:bCs/>
          <w:noProof/>
          <w:color w:val="701471"/>
          <w:sz w:val="32"/>
          <w:szCs w:val="28"/>
          <w:lang w:eastAsia="en-GB"/>
        </w:rPr>
      </w:pPr>
    </w:p>
    <w:p w:rsidR="006A31AE" w:rsidRPr="006A31AE" w:rsidRDefault="006A31AE" w:rsidP="006A31AE">
      <w:pPr>
        <w:spacing w:after="0" w:line="240" w:lineRule="auto"/>
        <w:rPr>
          <w:rFonts w:ascii="Arial" w:eastAsia="Times New Roman" w:hAnsi="Arial" w:cs="Arial"/>
          <w:b/>
          <w:bCs/>
          <w:noProof/>
          <w:color w:val="701471"/>
          <w:sz w:val="32"/>
          <w:szCs w:val="28"/>
          <w:lang w:eastAsia="en-GB"/>
        </w:rPr>
      </w:pPr>
      <w:r w:rsidRPr="006A31AE">
        <w:rPr>
          <w:rFonts w:ascii="Arial" w:eastAsia="Times New Roman" w:hAnsi="Arial" w:cs="Arial"/>
          <w:b/>
          <w:bCs/>
          <w:noProof/>
          <w:color w:val="701471"/>
          <w:sz w:val="32"/>
          <w:szCs w:val="28"/>
          <w:lang w:eastAsia="en-GB"/>
        </w:rPr>
        <w:t>Contents</w:t>
      </w:r>
    </w:p>
    <w:p w:rsidR="006A31AE" w:rsidRPr="006A31AE" w:rsidRDefault="006A31AE" w:rsidP="006A31AE">
      <w:pPr>
        <w:spacing w:after="0" w:line="240" w:lineRule="auto"/>
        <w:rPr>
          <w:rFonts w:ascii="Arial" w:eastAsia="Times New Roman" w:hAnsi="Arial" w:cs="Arial"/>
          <w:bCs/>
          <w:noProof/>
          <w:sz w:val="24"/>
          <w:szCs w:val="28"/>
          <w:lang w:eastAsia="en-GB"/>
        </w:rPr>
      </w:pPr>
    </w:p>
    <w:p w:rsidR="006A31AE" w:rsidRPr="00A15953" w:rsidRDefault="006A31AE" w:rsidP="006A31AE">
      <w:pPr>
        <w:spacing w:after="0" w:line="240" w:lineRule="auto"/>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Executive Summary</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F56F06">
        <w:rPr>
          <w:rFonts w:ascii="Arial" w:eastAsia="Times New Roman" w:hAnsi="Arial" w:cs="Arial"/>
          <w:bCs/>
          <w:noProof/>
          <w:sz w:val="24"/>
          <w:szCs w:val="28"/>
          <w:lang w:eastAsia="en-GB"/>
        </w:rPr>
        <w:t xml:space="preserve"> </w:t>
      </w:r>
      <w:r w:rsidRPr="00A15953">
        <w:rPr>
          <w:rFonts w:ascii="Arial" w:eastAsia="Times New Roman" w:hAnsi="Arial" w:cs="Arial"/>
          <w:bCs/>
          <w:noProof/>
          <w:sz w:val="24"/>
          <w:szCs w:val="28"/>
          <w:lang w:eastAsia="en-GB"/>
        </w:rPr>
        <w:t xml:space="preserve"> 2</w:t>
      </w:r>
    </w:p>
    <w:p w:rsidR="006A31AE" w:rsidRPr="00A15953" w:rsidRDefault="006A31AE" w:rsidP="006A31AE">
      <w:pPr>
        <w:spacing w:after="0" w:line="240" w:lineRule="auto"/>
        <w:rPr>
          <w:rFonts w:ascii="Arial" w:eastAsia="Times New Roman" w:hAnsi="Arial" w:cs="Arial"/>
          <w:bCs/>
          <w:noProof/>
          <w:sz w:val="24"/>
          <w:szCs w:val="28"/>
          <w:lang w:eastAsia="en-GB"/>
        </w:rPr>
      </w:pPr>
    </w:p>
    <w:p w:rsidR="006A31AE" w:rsidRPr="00A15953" w:rsidRDefault="006A31AE" w:rsidP="006A31AE">
      <w:pPr>
        <w:spacing w:after="0" w:line="240" w:lineRule="auto"/>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Population</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12</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Population growth</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12</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Our residents</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14</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Our communities</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18</w:t>
      </w:r>
    </w:p>
    <w:p w:rsidR="006A31AE" w:rsidRPr="00A15953" w:rsidRDefault="006A31AE" w:rsidP="00F56F06">
      <w:pPr>
        <w:spacing w:after="0" w:line="240" w:lineRule="auto"/>
        <w:ind w:firstLine="709"/>
        <w:rPr>
          <w:rFonts w:ascii="Arial" w:eastAsia="Times New Roman" w:hAnsi="Arial" w:cs="Arial"/>
          <w:bCs/>
          <w:noProof/>
          <w:sz w:val="24"/>
          <w:szCs w:val="28"/>
          <w:lang w:eastAsia="en-GB"/>
        </w:rPr>
      </w:pPr>
    </w:p>
    <w:p w:rsidR="006A31AE" w:rsidRPr="00A15953" w:rsidRDefault="006A31AE" w:rsidP="006A31AE">
      <w:pPr>
        <w:spacing w:after="0" w:line="240" w:lineRule="auto"/>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Deprivation</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2</w:t>
      </w:r>
      <w:r w:rsidR="0030575E" w:rsidRPr="00A15953">
        <w:rPr>
          <w:rFonts w:ascii="Arial" w:eastAsia="Times New Roman" w:hAnsi="Arial" w:cs="Arial"/>
          <w:bCs/>
          <w:noProof/>
          <w:sz w:val="24"/>
          <w:szCs w:val="28"/>
          <w:lang w:eastAsia="en-GB"/>
        </w:rPr>
        <w:t>0</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I</w:t>
      </w:r>
      <w:r w:rsidR="00F56F06">
        <w:rPr>
          <w:rFonts w:ascii="Arial" w:eastAsia="Times New Roman" w:hAnsi="Arial" w:cs="Arial"/>
          <w:bCs/>
          <w:noProof/>
          <w:sz w:val="24"/>
          <w:szCs w:val="28"/>
          <w:lang w:eastAsia="en-GB"/>
        </w:rPr>
        <w:t>MD -</w:t>
      </w:r>
      <w:r w:rsidRPr="00A15953">
        <w:rPr>
          <w:rFonts w:ascii="Arial" w:eastAsia="Times New Roman" w:hAnsi="Arial" w:cs="Arial"/>
          <w:bCs/>
          <w:noProof/>
          <w:sz w:val="24"/>
          <w:szCs w:val="28"/>
          <w:lang w:eastAsia="en-GB"/>
        </w:rPr>
        <w:t xml:space="preserve"> Overall changes since 2010 </w:t>
      </w:r>
      <w:r w:rsidRPr="00A15953">
        <w:rPr>
          <w:rFonts w:ascii="Arial" w:eastAsia="Times New Roman" w:hAnsi="Arial" w:cs="Arial"/>
          <w:bCs/>
          <w:noProof/>
          <w:sz w:val="24"/>
          <w:szCs w:val="28"/>
          <w:lang w:eastAsia="en-GB"/>
        </w:rPr>
        <w:tab/>
        <w:t>2</w:t>
      </w:r>
      <w:r w:rsidR="0009782C">
        <w:rPr>
          <w:rFonts w:ascii="Arial" w:eastAsia="Times New Roman" w:hAnsi="Arial" w:cs="Arial"/>
          <w:bCs/>
          <w:noProof/>
          <w:sz w:val="24"/>
          <w:szCs w:val="28"/>
          <w:lang w:eastAsia="en-GB"/>
        </w:rPr>
        <w:t>0</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IMD 2015 Domains</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2</w:t>
      </w:r>
      <w:r w:rsidR="0009782C">
        <w:rPr>
          <w:rFonts w:ascii="Arial" w:eastAsia="Times New Roman" w:hAnsi="Arial" w:cs="Arial"/>
          <w:bCs/>
          <w:noProof/>
          <w:sz w:val="24"/>
          <w:szCs w:val="28"/>
          <w:lang w:eastAsia="en-GB"/>
        </w:rPr>
        <w:t>3</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 xml:space="preserve">Income Deprivation Affecting </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Children Index (IDACI) 2015</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30</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 xml:space="preserve">Income Deprivation Affecting </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 xml:space="preserve">Older People Index (IDAOPI) 2015 </w:t>
      </w:r>
      <w:r w:rsidRPr="00A15953">
        <w:rPr>
          <w:rFonts w:ascii="Arial" w:eastAsia="Times New Roman" w:hAnsi="Arial" w:cs="Arial"/>
          <w:bCs/>
          <w:noProof/>
          <w:sz w:val="24"/>
          <w:szCs w:val="28"/>
          <w:lang w:eastAsia="en-GB"/>
        </w:rPr>
        <w:tab/>
        <w:t>31</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p>
    <w:p w:rsidR="006A31AE" w:rsidRPr="00A15953" w:rsidRDefault="006A31AE" w:rsidP="006A31AE">
      <w:pPr>
        <w:spacing w:after="0" w:line="240" w:lineRule="auto"/>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Education and skills</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32</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Early Years</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32</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School attainment</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33</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Further education</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3</w:t>
      </w:r>
      <w:r w:rsidR="0009782C">
        <w:rPr>
          <w:rFonts w:ascii="Arial" w:eastAsia="Times New Roman" w:hAnsi="Arial" w:cs="Arial"/>
          <w:bCs/>
          <w:noProof/>
          <w:sz w:val="24"/>
          <w:szCs w:val="28"/>
          <w:lang w:eastAsia="en-GB"/>
        </w:rPr>
        <w:t>6</w:t>
      </w:r>
    </w:p>
    <w:p w:rsidR="006A31AE" w:rsidRPr="00A15953" w:rsidRDefault="006A31AE" w:rsidP="00F56F06">
      <w:pPr>
        <w:spacing w:after="0" w:line="240" w:lineRule="auto"/>
        <w:ind w:firstLine="709"/>
        <w:rPr>
          <w:rFonts w:ascii="Arial" w:eastAsia="Times New Roman" w:hAnsi="Arial" w:cs="Arial"/>
          <w:bCs/>
          <w:noProof/>
          <w:sz w:val="24"/>
          <w:szCs w:val="28"/>
          <w:lang w:eastAsia="en-GB"/>
        </w:rPr>
      </w:pPr>
    </w:p>
    <w:p w:rsidR="00F56F06" w:rsidRDefault="006A31AE" w:rsidP="006A31AE">
      <w:pPr>
        <w:spacing w:after="0" w:line="240" w:lineRule="auto"/>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Economy</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30575E" w:rsidRPr="00A15953">
        <w:rPr>
          <w:rFonts w:ascii="Arial" w:eastAsia="Times New Roman" w:hAnsi="Arial" w:cs="Arial"/>
          <w:bCs/>
          <w:noProof/>
          <w:sz w:val="24"/>
          <w:szCs w:val="28"/>
          <w:lang w:eastAsia="en-GB"/>
        </w:rPr>
        <w:t>3</w:t>
      </w:r>
      <w:r w:rsidR="0009782C">
        <w:rPr>
          <w:rFonts w:ascii="Arial" w:eastAsia="Times New Roman" w:hAnsi="Arial" w:cs="Arial"/>
          <w:bCs/>
          <w:noProof/>
          <w:sz w:val="24"/>
          <w:szCs w:val="28"/>
          <w:lang w:eastAsia="en-GB"/>
        </w:rPr>
        <w:t>8</w:t>
      </w:r>
    </w:p>
    <w:p w:rsidR="006A31AE" w:rsidRPr="00A15953" w:rsidRDefault="006A31AE" w:rsidP="00F56F06">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Businesses</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30575E" w:rsidRPr="00A15953">
        <w:rPr>
          <w:rFonts w:ascii="Arial" w:eastAsia="Times New Roman" w:hAnsi="Arial" w:cs="Arial"/>
          <w:bCs/>
          <w:noProof/>
          <w:sz w:val="24"/>
          <w:szCs w:val="28"/>
          <w:lang w:eastAsia="en-GB"/>
        </w:rPr>
        <w:t>3</w:t>
      </w:r>
      <w:r w:rsidR="0009782C">
        <w:rPr>
          <w:rFonts w:ascii="Arial" w:eastAsia="Times New Roman" w:hAnsi="Arial" w:cs="Arial"/>
          <w:bCs/>
          <w:noProof/>
          <w:sz w:val="24"/>
          <w:szCs w:val="28"/>
          <w:lang w:eastAsia="en-GB"/>
        </w:rPr>
        <w:t>8</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Employment</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30575E" w:rsidRPr="00A15953">
        <w:rPr>
          <w:rFonts w:ascii="Arial" w:eastAsia="Times New Roman" w:hAnsi="Arial" w:cs="Arial"/>
          <w:bCs/>
          <w:noProof/>
          <w:sz w:val="24"/>
          <w:szCs w:val="28"/>
          <w:lang w:eastAsia="en-GB"/>
        </w:rPr>
        <w:t>4</w:t>
      </w:r>
      <w:r w:rsidR="0009782C">
        <w:rPr>
          <w:rFonts w:ascii="Arial" w:eastAsia="Times New Roman" w:hAnsi="Arial" w:cs="Arial"/>
          <w:bCs/>
          <w:noProof/>
          <w:sz w:val="24"/>
          <w:szCs w:val="28"/>
          <w:lang w:eastAsia="en-GB"/>
        </w:rPr>
        <w:t>0</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People out of work</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4</w:t>
      </w:r>
      <w:r w:rsidR="0009782C">
        <w:rPr>
          <w:rFonts w:ascii="Arial" w:eastAsia="Times New Roman" w:hAnsi="Arial" w:cs="Arial"/>
          <w:bCs/>
          <w:noProof/>
          <w:sz w:val="24"/>
          <w:szCs w:val="28"/>
          <w:lang w:eastAsia="en-GB"/>
        </w:rPr>
        <w:t>2</w:t>
      </w:r>
    </w:p>
    <w:p w:rsidR="00272B9F" w:rsidRPr="00A15953" w:rsidRDefault="00272B9F" w:rsidP="00272B9F">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Apprenticeships</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30575E" w:rsidRPr="00A15953">
        <w:rPr>
          <w:rFonts w:ascii="Arial" w:eastAsia="Times New Roman" w:hAnsi="Arial" w:cs="Arial"/>
          <w:bCs/>
          <w:noProof/>
          <w:sz w:val="24"/>
          <w:szCs w:val="28"/>
          <w:lang w:eastAsia="en-GB"/>
        </w:rPr>
        <w:t>4</w:t>
      </w:r>
      <w:r w:rsidR="0009782C">
        <w:rPr>
          <w:rFonts w:ascii="Arial" w:eastAsia="Times New Roman" w:hAnsi="Arial" w:cs="Arial"/>
          <w:bCs/>
          <w:noProof/>
          <w:sz w:val="24"/>
          <w:szCs w:val="28"/>
          <w:lang w:eastAsia="en-GB"/>
        </w:rPr>
        <w:t>3</w:t>
      </w:r>
    </w:p>
    <w:p w:rsidR="00272B9F" w:rsidRPr="00A15953" w:rsidRDefault="00272B9F" w:rsidP="00272B9F">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Skill levels of adults</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30575E" w:rsidRPr="00A15953">
        <w:rPr>
          <w:rFonts w:ascii="Arial" w:eastAsia="Times New Roman" w:hAnsi="Arial" w:cs="Arial"/>
          <w:bCs/>
          <w:noProof/>
          <w:sz w:val="24"/>
          <w:szCs w:val="28"/>
          <w:lang w:eastAsia="en-GB"/>
        </w:rPr>
        <w:t>4</w:t>
      </w:r>
      <w:r w:rsidR="0009782C">
        <w:rPr>
          <w:rFonts w:ascii="Arial" w:eastAsia="Times New Roman" w:hAnsi="Arial" w:cs="Arial"/>
          <w:bCs/>
          <w:noProof/>
          <w:sz w:val="24"/>
          <w:szCs w:val="28"/>
          <w:lang w:eastAsia="en-GB"/>
        </w:rPr>
        <w:t>4</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p>
    <w:p w:rsidR="006A31AE" w:rsidRPr="00A15953" w:rsidRDefault="006A31AE" w:rsidP="006A31AE">
      <w:pPr>
        <w:spacing w:after="0" w:line="240" w:lineRule="auto"/>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Housing</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30575E" w:rsidRPr="00A15953">
        <w:rPr>
          <w:rFonts w:ascii="Arial" w:eastAsia="Times New Roman" w:hAnsi="Arial" w:cs="Arial"/>
          <w:bCs/>
          <w:noProof/>
          <w:sz w:val="24"/>
          <w:szCs w:val="28"/>
          <w:lang w:eastAsia="en-GB"/>
        </w:rPr>
        <w:t>4</w:t>
      </w:r>
      <w:r w:rsidR="0009782C">
        <w:rPr>
          <w:rFonts w:ascii="Arial" w:eastAsia="Times New Roman" w:hAnsi="Arial" w:cs="Arial"/>
          <w:bCs/>
          <w:noProof/>
          <w:sz w:val="24"/>
          <w:szCs w:val="28"/>
          <w:lang w:eastAsia="en-GB"/>
        </w:rPr>
        <w:t>6</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Tenure</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30575E" w:rsidRPr="00A15953">
        <w:rPr>
          <w:rFonts w:ascii="Arial" w:eastAsia="Times New Roman" w:hAnsi="Arial" w:cs="Arial"/>
          <w:bCs/>
          <w:noProof/>
          <w:sz w:val="24"/>
          <w:szCs w:val="28"/>
          <w:lang w:eastAsia="en-GB"/>
        </w:rPr>
        <w:t>4</w:t>
      </w:r>
      <w:r w:rsidR="0009782C">
        <w:rPr>
          <w:rFonts w:ascii="Arial" w:eastAsia="Times New Roman" w:hAnsi="Arial" w:cs="Arial"/>
          <w:bCs/>
          <w:noProof/>
          <w:sz w:val="24"/>
          <w:szCs w:val="28"/>
          <w:lang w:eastAsia="en-GB"/>
        </w:rPr>
        <w:t>6</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Cost of property</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30575E" w:rsidRPr="00A15953">
        <w:rPr>
          <w:rFonts w:ascii="Arial" w:eastAsia="Times New Roman" w:hAnsi="Arial" w:cs="Arial"/>
          <w:bCs/>
          <w:noProof/>
          <w:sz w:val="24"/>
          <w:szCs w:val="28"/>
          <w:lang w:eastAsia="en-GB"/>
        </w:rPr>
        <w:t>4</w:t>
      </w:r>
      <w:r w:rsidR="0009782C">
        <w:rPr>
          <w:rFonts w:ascii="Arial" w:eastAsia="Times New Roman" w:hAnsi="Arial" w:cs="Arial"/>
          <w:bCs/>
          <w:noProof/>
          <w:sz w:val="24"/>
          <w:szCs w:val="28"/>
          <w:lang w:eastAsia="en-GB"/>
        </w:rPr>
        <w:t>8</w:t>
      </w:r>
    </w:p>
    <w:p w:rsidR="00F56F06" w:rsidRDefault="00F56F06" w:rsidP="006A31AE">
      <w:pPr>
        <w:spacing w:after="0" w:line="240" w:lineRule="auto"/>
        <w:ind w:firstLine="720"/>
        <w:rPr>
          <w:rFonts w:ascii="Arial" w:eastAsia="Times New Roman" w:hAnsi="Arial" w:cs="Arial"/>
          <w:bCs/>
          <w:noProof/>
          <w:sz w:val="24"/>
          <w:szCs w:val="28"/>
          <w:lang w:eastAsia="en-GB"/>
        </w:rPr>
      </w:pP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Availability of housing</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30575E" w:rsidRPr="00A15953">
        <w:rPr>
          <w:rFonts w:ascii="Arial" w:eastAsia="Times New Roman" w:hAnsi="Arial" w:cs="Arial"/>
          <w:bCs/>
          <w:noProof/>
          <w:sz w:val="24"/>
          <w:szCs w:val="28"/>
          <w:lang w:eastAsia="en-GB"/>
        </w:rPr>
        <w:t>5</w:t>
      </w:r>
      <w:r w:rsidR="0009782C">
        <w:rPr>
          <w:rFonts w:ascii="Arial" w:eastAsia="Times New Roman" w:hAnsi="Arial" w:cs="Arial"/>
          <w:bCs/>
          <w:noProof/>
          <w:sz w:val="24"/>
          <w:szCs w:val="28"/>
          <w:lang w:eastAsia="en-GB"/>
        </w:rPr>
        <w:t>0</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Homelessness</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30575E" w:rsidRPr="00A15953">
        <w:rPr>
          <w:rFonts w:ascii="Arial" w:eastAsia="Times New Roman" w:hAnsi="Arial" w:cs="Arial"/>
          <w:bCs/>
          <w:noProof/>
          <w:sz w:val="24"/>
          <w:szCs w:val="28"/>
          <w:lang w:eastAsia="en-GB"/>
        </w:rPr>
        <w:t>5</w:t>
      </w:r>
      <w:r w:rsidR="0009782C">
        <w:rPr>
          <w:rFonts w:ascii="Arial" w:eastAsia="Times New Roman" w:hAnsi="Arial" w:cs="Arial"/>
          <w:bCs/>
          <w:noProof/>
          <w:sz w:val="24"/>
          <w:szCs w:val="28"/>
          <w:lang w:eastAsia="en-GB"/>
        </w:rPr>
        <w:t>1</w:t>
      </w:r>
    </w:p>
    <w:p w:rsidR="006A31AE" w:rsidRPr="00A15953" w:rsidRDefault="006A31AE" w:rsidP="006A31AE">
      <w:pPr>
        <w:spacing w:after="0" w:line="240" w:lineRule="auto"/>
        <w:rPr>
          <w:rFonts w:ascii="Arial" w:eastAsia="Times New Roman" w:hAnsi="Arial" w:cs="Arial"/>
          <w:bCs/>
          <w:noProof/>
          <w:sz w:val="24"/>
          <w:szCs w:val="28"/>
          <w:lang w:eastAsia="en-GB"/>
        </w:rPr>
      </w:pPr>
    </w:p>
    <w:p w:rsidR="006A31AE" w:rsidRPr="00A15953" w:rsidRDefault="006A31AE" w:rsidP="006A31AE">
      <w:pPr>
        <w:spacing w:after="0" w:line="240" w:lineRule="auto"/>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Health</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5</w:t>
      </w:r>
      <w:r w:rsidR="0009782C">
        <w:rPr>
          <w:rFonts w:ascii="Arial" w:eastAsia="Times New Roman" w:hAnsi="Arial" w:cs="Arial"/>
          <w:bCs/>
          <w:noProof/>
          <w:sz w:val="24"/>
          <w:szCs w:val="28"/>
          <w:lang w:eastAsia="en-GB"/>
        </w:rPr>
        <w:t>3</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General health</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5</w:t>
      </w:r>
      <w:r w:rsidR="0009782C">
        <w:rPr>
          <w:rFonts w:ascii="Arial" w:eastAsia="Times New Roman" w:hAnsi="Arial" w:cs="Arial"/>
          <w:bCs/>
          <w:noProof/>
          <w:sz w:val="24"/>
          <w:szCs w:val="28"/>
          <w:lang w:eastAsia="en-GB"/>
        </w:rPr>
        <w:t>3</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Children and young people’s health</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5</w:t>
      </w:r>
      <w:r w:rsidR="0009782C">
        <w:rPr>
          <w:rFonts w:ascii="Arial" w:eastAsia="Times New Roman" w:hAnsi="Arial" w:cs="Arial"/>
          <w:bCs/>
          <w:noProof/>
          <w:sz w:val="24"/>
          <w:szCs w:val="28"/>
          <w:lang w:eastAsia="en-GB"/>
        </w:rPr>
        <w:t>5</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Adult’s health and lifestyle</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09782C">
        <w:rPr>
          <w:rFonts w:ascii="Arial" w:eastAsia="Times New Roman" w:hAnsi="Arial" w:cs="Arial"/>
          <w:bCs/>
          <w:noProof/>
          <w:sz w:val="24"/>
          <w:szCs w:val="28"/>
          <w:lang w:eastAsia="en-GB"/>
        </w:rPr>
        <w:t>59</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Disease and poor health</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30575E" w:rsidRPr="00A15953">
        <w:rPr>
          <w:rFonts w:ascii="Arial" w:eastAsia="Times New Roman" w:hAnsi="Arial" w:cs="Arial"/>
          <w:bCs/>
          <w:noProof/>
          <w:sz w:val="24"/>
          <w:szCs w:val="28"/>
          <w:lang w:eastAsia="en-GB"/>
        </w:rPr>
        <w:t>6</w:t>
      </w:r>
      <w:r w:rsidR="0009782C">
        <w:rPr>
          <w:rFonts w:ascii="Arial" w:eastAsia="Times New Roman" w:hAnsi="Arial" w:cs="Arial"/>
          <w:bCs/>
          <w:noProof/>
          <w:sz w:val="24"/>
          <w:szCs w:val="28"/>
          <w:lang w:eastAsia="en-GB"/>
        </w:rPr>
        <w:t>0</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Life expectancy and cause of death</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30575E" w:rsidRPr="00A15953">
        <w:rPr>
          <w:rFonts w:ascii="Arial" w:eastAsia="Times New Roman" w:hAnsi="Arial" w:cs="Arial"/>
          <w:bCs/>
          <w:noProof/>
          <w:sz w:val="24"/>
          <w:szCs w:val="28"/>
          <w:lang w:eastAsia="en-GB"/>
        </w:rPr>
        <w:t>64</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p>
    <w:p w:rsidR="006A31AE" w:rsidRPr="00A15953" w:rsidRDefault="006A31AE" w:rsidP="006A31AE">
      <w:pPr>
        <w:spacing w:after="0" w:line="240" w:lineRule="auto"/>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Social care</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30575E" w:rsidRPr="00A15953">
        <w:rPr>
          <w:rFonts w:ascii="Arial" w:eastAsia="Times New Roman" w:hAnsi="Arial" w:cs="Arial"/>
          <w:bCs/>
          <w:noProof/>
          <w:sz w:val="24"/>
          <w:szCs w:val="28"/>
          <w:lang w:eastAsia="en-GB"/>
        </w:rPr>
        <w:t>6</w:t>
      </w:r>
      <w:r w:rsidR="0009782C">
        <w:rPr>
          <w:rFonts w:ascii="Arial" w:eastAsia="Times New Roman" w:hAnsi="Arial" w:cs="Arial"/>
          <w:bCs/>
          <w:noProof/>
          <w:sz w:val="24"/>
          <w:szCs w:val="28"/>
          <w:lang w:eastAsia="en-GB"/>
        </w:rPr>
        <w:t>7</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Children in need</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30575E" w:rsidRPr="00A15953">
        <w:rPr>
          <w:rFonts w:ascii="Arial" w:eastAsia="Times New Roman" w:hAnsi="Arial" w:cs="Arial"/>
          <w:bCs/>
          <w:noProof/>
          <w:sz w:val="24"/>
          <w:szCs w:val="28"/>
          <w:lang w:eastAsia="en-GB"/>
        </w:rPr>
        <w:t>6</w:t>
      </w:r>
      <w:r w:rsidR="0009782C">
        <w:rPr>
          <w:rFonts w:ascii="Arial" w:eastAsia="Times New Roman" w:hAnsi="Arial" w:cs="Arial"/>
          <w:bCs/>
          <w:noProof/>
          <w:sz w:val="24"/>
          <w:szCs w:val="28"/>
          <w:lang w:eastAsia="en-GB"/>
        </w:rPr>
        <w:t>7</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Looked after children</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09782C">
        <w:rPr>
          <w:rFonts w:ascii="Arial" w:eastAsia="Times New Roman" w:hAnsi="Arial" w:cs="Arial"/>
          <w:bCs/>
          <w:noProof/>
          <w:sz w:val="24"/>
          <w:szCs w:val="28"/>
          <w:lang w:eastAsia="en-GB"/>
        </w:rPr>
        <w:t>70</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Adult safeguarding</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7</w:t>
      </w:r>
      <w:r w:rsidR="0009782C">
        <w:rPr>
          <w:rFonts w:ascii="Arial" w:eastAsia="Times New Roman" w:hAnsi="Arial" w:cs="Arial"/>
          <w:bCs/>
          <w:noProof/>
          <w:sz w:val="24"/>
          <w:szCs w:val="28"/>
          <w:lang w:eastAsia="en-GB"/>
        </w:rPr>
        <w:t>5</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Adults receiving care</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7</w:t>
      </w:r>
      <w:r w:rsidR="0009782C">
        <w:rPr>
          <w:rFonts w:ascii="Arial" w:eastAsia="Times New Roman" w:hAnsi="Arial" w:cs="Arial"/>
          <w:bCs/>
          <w:noProof/>
          <w:sz w:val="24"/>
          <w:szCs w:val="28"/>
          <w:lang w:eastAsia="en-GB"/>
        </w:rPr>
        <w:t>6</w:t>
      </w:r>
    </w:p>
    <w:p w:rsidR="006A31AE" w:rsidRPr="00A15953" w:rsidRDefault="006A31AE" w:rsidP="006A31AE">
      <w:pPr>
        <w:spacing w:after="0" w:line="240" w:lineRule="auto"/>
        <w:rPr>
          <w:rFonts w:ascii="Arial" w:eastAsia="Times New Roman" w:hAnsi="Arial" w:cs="Arial"/>
          <w:bCs/>
          <w:noProof/>
          <w:sz w:val="24"/>
          <w:szCs w:val="28"/>
          <w:lang w:eastAsia="en-GB"/>
        </w:rPr>
      </w:pPr>
    </w:p>
    <w:p w:rsidR="006A31AE" w:rsidRPr="00A15953" w:rsidRDefault="006A31AE" w:rsidP="006A31AE">
      <w:pPr>
        <w:spacing w:after="0" w:line="240" w:lineRule="auto"/>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Community safety</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09782C">
        <w:rPr>
          <w:rFonts w:ascii="Arial" w:eastAsia="Times New Roman" w:hAnsi="Arial" w:cs="Arial"/>
          <w:bCs/>
          <w:noProof/>
          <w:sz w:val="24"/>
          <w:szCs w:val="28"/>
          <w:lang w:eastAsia="en-GB"/>
        </w:rPr>
        <w:t>80</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Total notifiable offences</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09782C">
        <w:rPr>
          <w:rFonts w:ascii="Arial" w:eastAsia="Times New Roman" w:hAnsi="Arial" w:cs="Arial"/>
          <w:bCs/>
          <w:noProof/>
          <w:sz w:val="24"/>
          <w:szCs w:val="28"/>
          <w:lang w:eastAsia="en-GB"/>
        </w:rPr>
        <w:t>80</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MOPAC 7</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30575E" w:rsidRPr="00A15953">
        <w:rPr>
          <w:rFonts w:ascii="Arial" w:eastAsia="Times New Roman" w:hAnsi="Arial" w:cs="Arial"/>
          <w:bCs/>
          <w:noProof/>
          <w:sz w:val="24"/>
          <w:szCs w:val="28"/>
          <w:lang w:eastAsia="en-GB"/>
        </w:rPr>
        <w:t>81</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Gang crime and serious youth violence</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8</w:t>
      </w:r>
      <w:r w:rsidR="0009782C">
        <w:rPr>
          <w:rFonts w:ascii="Arial" w:eastAsia="Times New Roman" w:hAnsi="Arial" w:cs="Arial"/>
          <w:bCs/>
          <w:noProof/>
          <w:sz w:val="24"/>
          <w:szCs w:val="28"/>
          <w:lang w:eastAsia="en-GB"/>
        </w:rPr>
        <w:t>6</w:t>
      </w:r>
    </w:p>
    <w:p w:rsidR="00654D63" w:rsidRPr="00A15953" w:rsidRDefault="00654D63"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Knife crime</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8</w:t>
      </w:r>
      <w:r w:rsidR="0009782C">
        <w:rPr>
          <w:rFonts w:ascii="Arial" w:eastAsia="Times New Roman" w:hAnsi="Arial" w:cs="Arial"/>
          <w:bCs/>
          <w:noProof/>
          <w:sz w:val="24"/>
          <w:szCs w:val="28"/>
          <w:lang w:eastAsia="en-GB"/>
        </w:rPr>
        <w:t>7</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Hate crime</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t>8</w:t>
      </w:r>
      <w:r w:rsidR="0009782C">
        <w:rPr>
          <w:rFonts w:ascii="Arial" w:eastAsia="Times New Roman" w:hAnsi="Arial" w:cs="Arial"/>
          <w:bCs/>
          <w:noProof/>
          <w:sz w:val="24"/>
          <w:szCs w:val="28"/>
          <w:lang w:eastAsia="en-GB"/>
        </w:rPr>
        <w:t>8</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Domestic abuse and sexual violence</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09782C">
        <w:rPr>
          <w:rFonts w:ascii="Arial" w:eastAsia="Times New Roman" w:hAnsi="Arial" w:cs="Arial"/>
          <w:bCs/>
          <w:noProof/>
          <w:sz w:val="24"/>
          <w:szCs w:val="28"/>
          <w:lang w:eastAsia="en-GB"/>
        </w:rPr>
        <w:t>92</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Antisocial behaviour</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A15953" w:rsidRPr="00A15953">
        <w:rPr>
          <w:rFonts w:ascii="Arial" w:eastAsia="Times New Roman" w:hAnsi="Arial" w:cs="Arial"/>
          <w:bCs/>
          <w:noProof/>
          <w:sz w:val="24"/>
          <w:szCs w:val="28"/>
          <w:lang w:eastAsia="en-GB"/>
        </w:rPr>
        <w:t>9</w:t>
      </w:r>
      <w:r w:rsidR="002B0991">
        <w:rPr>
          <w:rFonts w:ascii="Arial" w:eastAsia="Times New Roman" w:hAnsi="Arial" w:cs="Arial"/>
          <w:bCs/>
          <w:noProof/>
          <w:sz w:val="24"/>
          <w:szCs w:val="28"/>
          <w:lang w:eastAsia="en-GB"/>
        </w:rPr>
        <w:t>4</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Youth offending</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A15953" w:rsidRPr="00A15953">
        <w:rPr>
          <w:rFonts w:ascii="Arial" w:eastAsia="Times New Roman" w:hAnsi="Arial" w:cs="Arial"/>
          <w:bCs/>
          <w:noProof/>
          <w:sz w:val="24"/>
          <w:szCs w:val="28"/>
          <w:lang w:eastAsia="en-GB"/>
        </w:rPr>
        <w:t>9</w:t>
      </w:r>
      <w:r w:rsidR="0009782C">
        <w:rPr>
          <w:rFonts w:ascii="Arial" w:eastAsia="Times New Roman" w:hAnsi="Arial" w:cs="Arial"/>
          <w:bCs/>
          <w:noProof/>
          <w:sz w:val="24"/>
          <w:szCs w:val="28"/>
          <w:lang w:eastAsia="en-GB"/>
        </w:rPr>
        <w:t>4</w:t>
      </w:r>
    </w:p>
    <w:p w:rsidR="006A31AE" w:rsidRPr="00A15953" w:rsidRDefault="006A31AE" w:rsidP="0009782C">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Adult and juvenile re-offending</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09782C">
        <w:rPr>
          <w:rFonts w:ascii="Arial" w:eastAsia="Times New Roman" w:hAnsi="Arial" w:cs="Arial"/>
          <w:bCs/>
          <w:noProof/>
          <w:sz w:val="24"/>
          <w:szCs w:val="28"/>
          <w:lang w:eastAsia="en-GB"/>
        </w:rPr>
        <w:t>94</w:t>
      </w:r>
    </w:p>
    <w:p w:rsidR="006A31AE" w:rsidRPr="00A15953" w:rsidRDefault="006A31AE" w:rsidP="006A31AE">
      <w:pPr>
        <w:spacing w:after="0" w:line="240" w:lineRule="auto"/>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Environment and transport</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A15953" w:rsidRPr="00A15953">
        <w:rPr>
          <w:rFonts w:ascii="Arial" w:eastAsia="Times New Roman" w:hAnsi="Arial" w:cs="Arial"/>
          <w:bCs/>
          <w:noProof/>
          <w:sz w:val="24"/>
          <w:szCs w:val="28"/>
          <w:lang w:eastAsia="en-GB"/>
        </w:rPr>
        <w:t>9</w:t>
      </w:r>
      <w:r w:rsidR="002B0991">
        <w:rPr>
          <w:rFonts w:ascii="Arial" w:eastAsia="Times New Roman" w:hAnsi="Arial" w:cs="Arial"/>
          <w:bCs/>
          <w:noProof/>
          <w:sz w:val="24"/>
          <w:szCs w:val="28"/>
          <w:lang w:eastAsia="en-GB"/>
        </w:rPr>
        <w:t>6</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Environment</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A15953" w:rsidRPr="00A15953">
        <w:rPr>
          <w:rFonts w:ascii="Arial" w:eastAsia="Times New Roman" w:hAnsi="Arial" w:cs="Arial"/>
          <w:bCs/>
          <w:noProof/>
          <w:sz w:val="24"/>
          <w:szCs w:val="28"/>
          <w:lang w:eastAsia="en-GB"/>
        </w:rPr>
        <w:t>9</w:t>
      </w:r>
      <w:r w:rsidR="002B0991">
        <w:rPr>
          <w:rFonts w:ascii="Arial" w:eastAsia="Times New Roman" w:hAnsi="Arial" w:cs="Arial"/>
          <w:bCs/>
          <w:noProof/>
          <w:sz w:val="24"/>
          <w:szCs w:val="28"/>
          <w:lang w:eastAsia="en-GB"/>
        </w:rPr>
        <w:t>6</w:t>
      </w:r>
    </w:p>
    <w:p w:rsidR="006A31AE" w:rsidRPr="00A15953" w:rsidRDefault="006A31AE" w:rsidP="006A31AE">
      <w:pPr>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Transport</w:t>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Pr="00A15953">
        <w:rPr>
          <w:rFonts w:ascii="Arial" w:eastAsia="Times New Roman" w:hAnsi="Arial" w:cs="Arial"/>
          <w:bCs/>
          <w:noProof/>
          <w:sz w:val="24"/>
          <w:szCs w:val="28"/>
          <w:lang w:eastAsia="en-GB"/>
        </w:rPr>
        <w:tab/>
      </w:r>
      <w:r w:rsidR="00A15953" w:rsidRPr="00A15953">
        <w:rPr>
          <w:rFonts w:ascii="Arial" w:eastAsia="Times New Roman" w:hAnsi="Arial" w:cs="Arial"/>
          <w:bCs/>
          <w:noProof/>
          <w:sz w:val="24"/>
          <w:szCs w:val="28"/>
          <w:lang w:eastAsia="en-GB"/>
        </w:rPr>
        <w:t>9</w:t>
      </w:r>
      <w:r w:rsidR="002B0991">
        <w:rPr>
          <w:rFonts w:ascii="Arial" w:eastAsia="Times New Roman" w:hAnsi="Arial" w:cs="Arial"/>
          <w:bCs/>
          <w:noProof/>
          <w:sz w:val="24"/>
          <w:szCs w:val="28"/>
          <w:lang w:eastAsia="en-GB"/>
        </w:rPr>
        <w:t>8</w:t>
      </w:r>
    </w:p>
    <w:p w:rsidR="006A31AE" w:rsidRPr="00A15953" w:rsidRDefault="00F56F06" w:rsidP="00F56F06">
      <w:pPr>
        <w:tabs>
          <w:tab w:val="left" w:pos="5670"/>
        </w:tabs>
        <w:spacing w:after="0" w:line="240" w:lineRule="auto"/>
        <w:ind w:firstLine="720"/>
        <w:rPr>
          <w:rFonts w:ascii="Arial" w:eastAsia="Times New Roman" w:hAnsi="Arial" w:cs="Arial"/>
          <w:bCs/>
          <w:noProof/>
          <w:sz w:val="24"/>
          <w:szCs w:val="28"/>
          <w:lang w:eastAsia="en-GB"/>
        </w:rPr>
      </w:pPr>
      <w:r>
        <w:rPr>
          <w:rFonts w:ascii="Arial" w:eastAsia="Times New Roman" w:hAnsi="Arial" w:cs="Arial"/>
          <w:bCs/>
          <w:noProof/>
          <w:sz w:val="24"/>
          <w:szCs w:val="28"/>
          <w:lang w:eastAsia="en-GB"/>
        </w:rPr>
        <w:t>Fire Services</w:t>
      </w:r>
      <w:r>
        <w:rPr>
          <w:rFonts w:ascii="Arial" w:eastAsia="Times New Roman" w:hAnsi="Arial" w:cs="Arial"/>
          <w:bCs/>
          <w:noProof/>
          <w:sz w:val="24"/>
          <w:szCs w:val="28"/>
          <w:lang w:eastAsia="en-GB"/>
        </w:rPr>
        <w:tab/>
      </w:r>
      <w:r w:rsidR="0009782C">
        <w:rPr>
          <w:rFonts w:ascii="Arial" w:eastAsia="Times New Roman" w:hAnsi="Arial" w:cs="Arial"/>
          <w:bCs/>
          <w:noProof/>
          <w:sz w:val="24"/>
          <w:szCs w:val="28"/>
          <w:lang w:eastAsia="en-GB"/>
        </w:rPr>
        <w:t>10</w:t>
      </w:r>
      <w:r w:rsidR="002B0991">
        <w:rPr>
          <w:rFonts w:ascii="Arial" w:eastAsia="Times New Roman" w:hAnsi="Arial" w:cs="Arial"/>
          <w:bCs/>
          <w:noProof/>
          <w:sz w:val="24"/>
          <w:szCs w:val="28"/>
          <w:lang w:eastAsia="en-GB"/>
        </w:rPr>
        <w:t>3</w:t>
      </w:r>
    </w:p>
    <w:p w:rsidR="006A31AE" w:rsidRPr="00F56F06" w:rsidRDefault="006A31AE" w:rsidP="00F56F06">
      <w:pPr>
        <w:tabs>
          <w:tab w:val="left" w:pos="5670"/>
        </w:tabs>
        <w:spacing w:after="0" w:line="240" w:lineRule="auto"/>
        <w:ind w:firstLine="720"/>
        <w:rPr>
          <w:rFonts w:ascii="Arial" w:eastAsia="Times New Roman" w:hAnsi="Arial" w:cs="Arial"/>
          <w:bCs/>
          <w:noProof/>
          <w:sz w:val="24"/>
          <w:szCs w:val="28"/>
          <w:lang w:eastAsia="en-GB"/>
        </w:rPr>
      </w:pPr>
      <w:r w:rsidRPr="00A15953">
        <w:rPr>
          <w:rFonts w:ascii="Arial" w:eastAsia="Times New Roman" w:hAnsi="Arial" w:cs="Arial"/>
          <w:bCs/>
          <w:noProof/>
          <w:sz w:val="24"/>
          <w:szCs w:val="28"/>
          <w:lang w:eastAsia="en-GB"/>
        </w:rPr>
        <w:t>Fly-tipping</w:t>
      </w:r>
      <w:r w:rsidR="00F56F06">
        <w:rPr>
          <w:rFonts w:ascii="Arial" w:eastAsia="Times New Roman" w:hAnsi="Arial" w:cs="Arial"/>
          <w:bCs/>
          <w:noProof/>
          <w:sz w:val="24"/>
          <w:szCs w:val="28"/>
          <w:lang w:eastAsia="en-GB"/>
        </w:rPr>
        <w:t xml:space="preserve"> </w:t>
      </w:r>
      <w:r w:rsidR="00F56F06">
        <w:rPr>
          <w:rFonts w:ascii="Arial" w:eastAsia="Times New Roman" w:hAnsi="Arial" w:cs="Arial"/>
          <w:bCs/>
          <w:noProof/>
          <w:sz w:val="24"/>
          <w:szCs w:val="28"/>
          <w:lang w:eastAsia="en-GB"/>
        </w:rPr>
        <w:tab/>
      </w:r>
      <w:r w:rsidR="0009782C" w:rsidRPr="00F56F06">
        <w:rPr>
          <w:rFonts w:ascii="Arial" w:eastAsia="Times New Roman" w:hAnsi="Arial" w:cs="Arial"/>
          <w:bCs/>
          <w:noProof/>
          <w:sz w:val="24"/>
          <w:szCs w:val="28"/>
          <w:lang w:eastAsia="en-GB"/>
        </w:rPr>
        <w:t>10</w:t>
      </w:r>
      <w:r w:rsidR="002B0991">
        <w:rPr>
          <w:rFonts w:ascii="Arial" w:eastAsia="Times New Roman" w:hAnsi="Arial" w:cs="Arial"/>
          <w:bCs/>
          <w:noProof/>
          <w:sz w:val="24"/>
          <w:szCs w:val="28"/>
          <w:lang w:eastAsia="en-GB"/>
        </w:rPr>
        <w:t>3</w:t>
      </w:r>
    </w:p>
    <w:p w:rsidR="006A31AE" w:rsidRDefault="006A31AE" w:rsidP="00F56F06">
      <w:pPr>
        <w:tabs>
          <w:tab w:val="left" w:pos="5670"/>
        </w:tabs>
        <w:spacing w:after="0" w:line="240" w:lineRule="auto"/>
        <w:ind w:firstLine="720"/>
        <w:rPr>
          <w:rFonts w:ascii="Arial" w:eastAsia="Times New Roman" w:hAnsi="Arial" w:cs="Arial"/>
          <w:bCs/>
          <w:noProof/>
          <w:sz w:val="24"/>
          <w:szCs w:val="28"/>
          <w:lang w:eastAsia="en-GB"/>
        </w:rPr>
      </w:pPr>
    </w:p>
    <w:p w:rsidR="00F56F06" w:rsidRPr="006A31AE" w:rsidRDefault="00F56F06" w:rsidP="004B272D">
      <w:pPr>
        <w:spacing w:after="0" w:line="240" w:lineRule="auto"/>
        <w:rPr>
          <w:rFonts w:ascii="Arial" w:eastAsia="Times New Roman" w:hAnsi="Arial" w:cs="Arial"/>
          <w:bCs/>
          <w:noProof/>
          <w:sz w:val="24"/>
          <w:szCs w:val="28"/>
          <w:lang w:eastAsia="en-GB"/>
        </w:rPr>
        <w:sectPr w:rsidR="00F56F06" w:rsidRPr="006A31AE" w:rsidSect="00654D63">
          <w:headerReference w:type="default" r:id="rId31"/>
          <w:footerReference w:type="default" r:id="rId32"/>
          <w:pgSz w:w="16838" w:h="11906" w:orient="landscape"/>
          <w:pgMar w:top="1276" w:right="1440" w:bottom="709" w:left="1440" w:header="708" w:footer="708" w:gutter="0"/>
          <w:pgNumType w:start="1"/>
          <w:cols w:num="2" w:space="708"/>
          <w:docGrid w:linePitch="360"/>
        </w:sectPr>
      </w:pPr>
    </w:p>
    <w:p w:rsidR="006A31AE" w:rsidRPr="006A31AE" w:rsidRDefault="006A31AE" w:rsidP="006A31AE">
      <w:pPr>
        <w:spacing w:after="0" w:line="240" w:lineRule="auto"/>
        <w:rPr>
          <w:rFonts w:ascii="Arial" w:eastAsia="Times New Roman" w:hAnsi="Arial" w:cs="Arial"/>
          <w:b/>
          <w:bCs/>
          <w:noProof/>
          <w:color w:val="701471"/>
          <w:sz w:val="32"/>
          <w:szCs w:val="28"/>
          <w:lang w:eastAsia="en-GB"/>
        </w:rPr>
      </w:pPr>
      <w:r w:rsidRPr="006A31AE">
        <w:rPr>
          <w:rFonts w:ascii="Arial" w:eastAsia="Calibri" w:hAnsi="Arial" w:cs="Arial"/>
          <w:noProof/>
          <w:sz w:val="24"/>
          <w:szCs w:val="24"/>
          <w:lang w:eastAsia="en-GB"/>
        </w:rPr>
        <w:lastRenderedPageBreak/>
        <mc:AlternateContent>
          <mc:Choice Requires="wps">
            <w:drawing>
              <wp:anchor distT="0" distB="0" distL="114299" distR="114299" simplePos="0" relativeHeight="251684864" behindDoc="0" locked="0" layoutInCell="1" allowOverlap="1" wp14:anchorId="3B9D6FBF" wp14:editId="21D4D512">
                <wp:simplePos x="0" y="0"/>
                <wp:positionH relativeFrom="column">
                  <wp:posOffset>4305300</wp:posOffset>
                </wp:positionH>
                <wp:positionV relativeFrom="paragraph">
                  <wp:posOffset>133985</wp:posOffset>
                </wp:positionV>
                <wp:extent cx="45719" cy="5558790"/>
                <wp:effectExtent l="0" t="0" r="31115" b="22860"/>
                <wp:wrapNone/>
                <wp:docPr id="90" name="AutoShap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19" cy="5558790"/>
                        </a:xfrm>
                        <a:prstGeom prst="straightConnector1">
                          <a:avLst/>
                        </a:prstGeom>
                        <a:noFill/>
                        <a:ln w="9525">
                          <a:solidFill>
                            <a:sysClr val="window" lastClr="FFFFFF">
                              <a:lumMod val="50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9B907A7" id="_x0000_t32" coordsize="21600,21600" o:spt="32" o:oned="t" path="m,l21600,21600e" filled="f">
                <v:path arrowok="t" fillok="f" o:connecttype="none"/>
                <o:lock v:ext="edit" shapetype="t"/>
              </v:shapetype>
              <v:shape id="AutoShape 57" o:spid="_x0000_s1026" type="#_x0000_t32" style="position:absolute;margin-left:339pt;margin-top:10.55pt;width:3.6pt;height:437.7pt;flip:x;z-index:2516848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" strokecolor="#7f7f7f"/>
            </w:pict>
          </mc:Fallback>
        </mc:AlternateContent>
      </w:r>
      <w:r w:rsidRPr="006A31AE">
        <w:rPr>
          <w:rFonts w:ascii="Arial" w:eastAsia="Times New Roman" w:hAnsi="Arial" w:cs="Arial"/>
          <w:b/>
          <w:bCs/>
          <w:noProof/>
          <w:color w:val="701471"/>
          <w:sz w:val="32"/>
          <w:szCs w:val="28"/>
          <w:lang w:eastAsia="en-GB"/>
        </w:rPr>
        <w:t>Borough Profile 2018</w:t>
      </w:r>
    </w:p>
    <w:p w:rsidR="006A31AE" w:rsidRPr="006A31AE" w:rsidRDefault="006A31AE" w:rsidP="006A31AE">
      <w:pPr>
        <w:spacing w:after="0" w:line="240" w:lineRule="auto"/>
        <w:rPr>
          <w:rFonts w:ascii="Arial" w:eastAsia="Times New Roman" w:hAnsi="Arial" w:cs="Arial"/>
          <w:b/>
          <w:bCs/>
          <w:color w:val="701471"/>
          <w:sz w:val="32"/>
          <w:szCs w:val="28"/>
          <w:lang w:eastAsia="en-GB"/>
        </w:rPr>
      </w:pPr>
    </w:p>
    <w:p w:rsidR="006A31AE" w:rsidRPr="006A31AE" w:rsidRDefault="006A31AE" w:rsidP="006A31AE">
      <w:pPr>
        <w:spacing w:after="0" w:line="240" w:lineRule="auto"/>
        <w:rPr>
          <w:rFonts w:ascii="Arial" w:eastAsia="Times New Roman" w:hAnsi="Arial" w:cs="Arial"/>
          <w:b/>
          <w:bCs/>
          <w:color w:val="701471"/>
          <w:sz w:val="32"/>
          <w:szCs w:val="28"/>
          <w:lang w:eastAsia="en-GB"/>
        </w:rPr>
      </w:pPr>
    </w:p>
    <w:p w:rsidR="006A31AE" w:rsidRPr="006A31AE" w:rsidRDefault="006A31AE" w:rsidP="006A31AE">
      <w:pPr>
        <w:spacing w:after="0" w:line="240" w:lineRule="auto"/>
        <w:rPr>
          <w:rFonts w:ascii="Arial" w:eastAsia="Times New Roman" w:hAnsi="Arial" w:cs="Arial"/>
          <w:b/>
          <w:bCs/>
          <w:color w:val="701471"/>
          <w:sz w:val="32"/>
          <w:szCs w:val="28"/>
          <w:lang w:eastAsia="en-GB"/>
        </w:rPr>
      </w:pPr>
      <w:r w:rsidRPr="006A31AE">
        <w:rPr>
          <w:rFonts w:ascii="Arial" w:eastAsia="Times New Roman" w:hAnsi="Arial" w:cs="Arial"/>
          <w:b/>
          <w:bCs/>
          <w:color w:val="701471"/>
          <w:sz w:val="32"/>
          <w:szCs w:val="28"/>
          <w:lang w:eastAsia="en-GB"/>
        </w:rPr>
        <w:t>Executive Summary</w:t>
      </w:r>
    </w:p>
    <w:p w:rsidR="006A31AE" w:rsidRPr="006A31AE" w:rsidRDefault="006A31AE" w:rsidP="006A31AE">
      <w:pPr>
        <w:spacing w:after="0" w:line="240" w:lineRule="auto"/>
        <w:rPr>
          <w:rFonts w:ascii="Arial" w:eastAsia="Times New Roman" w:hAnsi="Arial" w:cs="Arial"/>
          <w:b/>
          <w:bCs/>
          <w:color w:val="701471"/>
          <w:sz w:val="32"/>
          <w:szCs w:val="28"/>
          <w:lang w:eastAsia="en-GB"/>
        </w:rPr>
      </w:pPr>
    </w:p>
    <w:p w:rsidR="006A31AE" w:rsidRDefault="00DB4ED8" w:rsidP="006A31AE">
      <w:pPr>
        <w:spacing w:after="200" w:line="276" w:lineRule="auto"/>
        <w:rPr>
          <w:rFonts w:ascii="Arial" w:eastAsia="Calibri" w:hAnsi="Arial" w:cs="Arial"/>
          <w:sz w:val="24"/>
          <w:szCs w:val="24"/>
        </w:rPr>
      </w:pPr>
      <w:r w:rsidRPr="006A31AE">
        <w:rPr>
          <w:rFonts w:ascii="Arial" w:eastAsia="Calibri" w:hAnsi="Arial" w:cs="Arial"/>
          <w:sz w:val="24"/>
          <w:szCs w:val="24"/>
        </w:rPr>
        <w:t xml:space="preserve">This Borough Profile </w:t>
      </w:r>
      <w:r w:rsidR="006A31AE" w:rsidRPr="006A31AE">
        <w:rPr>
          <w:rFonts w:ascii="Arial" w:eastAsia="Calibri" w:hAnsi="Arial" w:cs="Arial"/>
          <w:sz w:val="24"/>
          <w:szCs w:val="24"/>
        </w:rPr>
        <w:t>provides an overview of key information about the London Borough of Croydon and</w:t>
      </w:r>
      <w:r w:rsidR="001A6D7B">
        <w:rPr>
          <w:rFonts w:ascii="Arial" w:eastAsia="Calibri" w:hAnsi="Arial" w:cs="Arial"/>
          <w:sz w:val="24"/>
          <w:szCs w:val="24"/>
        </w:rPr>
        <w:t xml:space="preserve"> some of the issues facing both the </w:t>
      </w:r>
      <w:r w:rsidR="006A31AE" w:rsidRPr="006A31AE">
        <w:rPr>
          <w:rFonts w:ascii="Arial" w:eastAsia="Calibri" w:hAnsi="Arial" w:cs="Arial"/>
          <w:sz w:val="24"/>
          <w:szCs w:val="24"/>
        </w:rPr>
        <w:t>communities in Croydon and service providers.</w:t>
      </w:r>
    </w:p>
    <w:p w:rsidR="001A6D7B" w:rsidRPr="001A6D7B" w:rsidRDefault="00DB4ED8" w:rsidP="001A6D7B">
      <w:pPr>
        <w:spacing w:after="200" w:line="276" w:lineRule="auto"/>
        <w:rPr>
          <w:rFonts w:ascii="Arial" w:eastAsia="Calibri" w:hAnsi="Arial" w:cs="Arial"/>
          <w:sz w:val="24"/>
          <w:szCs w:val="24"/>
        </w:rPr>
      </w:pPr>
      <w:r>
        <w:rPr>
          <w:rFonts w:ascii="Arial" w:eastAsia="Calibri" w:hAnsi="Arial" w:cs="Arial"/>
          <w:sz w:val="24"/>
          <w:szCs w:val="24"/>
        </w:rPr>
        <w:t xml:space="preserve">It is </w:t>
      </w:r>
      <w:r w:rsidR="006A31AE" w:rsidRPr="006A31AE">
        <w:rPr>
          <w:rFonts w:ascii="Arial" w:eastAsia="Calibri" w:hAnsi="Arial" w:cs="Arial"/>
          <w:sz w:val="24"/>
          <w:szCs w:val="24"/>
        </w:rPr>
        <w:t xml:space="preserve">a good first reference point for intelligence about the </w:t>
      </w:r>
      <w:r>
        <w:rPr>
          <w:rFonts w:ascii="Arial" w:eastAsia="Calibri" w:hAnsi="Arial" w:cs="Arial"/>
          <w:sz w:val="24"/>
          <w:szCs w:val="24"/>
        </w:rPr>
        <w:t>B</w:t>
      </w:r>
      <w:r w:rsidR="006A31AE" w:rsidRPr="006A31AE">
        <w:rPr>
          <w:rFonts w:ascii="Arial" w:eastAsia="Calibri" w:hAnsi="Arial" w:cs="Arial"/>
          <w:sz w:val="24"/>
          <w:szCs w:val="24"/>
        </w:rPr>
        <w:t>orough</w:t>
      </w:r>
      <w:r>
        <w:rPr>
          <w:rFonts w:ascii="Arial" w:eastAsia="Calibri" w:hAnsi="Arial" w:cs="Arial"/>
          <w:sz w:val="24"/>
          <w:szCs w:val="24"/>
        </w:rPr>
        <w:t xml:space="preserve"> which can help those involved in commissioning and service provision on behalf of the Council.</w:t>
      </w:r>
      <w:r w:rsidR="001A6D7B" w:rsidRPr="001A6D7B">
        <w:rPr>
          <w:rFonts w:ascii="Arial" w:eastAsia="Calibri" w:hAnsi="Arial" w:cs="Arial"/>
          <w:sz w:val="24"/>
          <w:szCs w:val="24"/>
        </w:rPr>
        <w:t xml:space="preserve"> It also helps to inform other agencies not commissioned by the Council that provide services to Croydon residents.</w:t>
      </w:r>
    </w:p>
    <w:p w:rsidR="00DB4ED8" w:rsidRDefault="002A224E" w:rsidP="006A31AE">
      <w:pPr>
        <w:spacing w:after="200" w:line="276" w:lineRule="auto"/>
        <w:rPr>
          <w:rFonts w:ascii="Arial" w:eastAsia="Calibri" w:hAnsi="Arial" w:cs="Arial"/>
          <w:sz w:val="24"/>
          <w:szCs w:val="24"/>
        </w:rPr>
      </w:pPr>
      <w:r>
        <w:rPr>
          <w:rFonts w:ascii="Arial" w:eastAsia="Calibri" w:hAnsi="Arial" w:cs="Arial"/>
          <w:sz w:val="24"/>
          <w:szCs w:val="24"/>
        </w:rPr>
        <w:t xml:space="preserve">As data throughout this document is available </w:t>
      </w:r>
      <w:r w:rsidR="00DB4ED8">
        <w:rPr>
          <w:rFonts w:ascii="Arial" w:eastAsia="Calibri" w:hAnsi="Arial" w:cs="Arial"/>
          <w:sz w:val="24"/>
          <w:szCs w:val="24"/>
        </w:rPr>
        <w:t xml:space="preserve">at different times of the year, it is intended that this will be updated </w:t>
      </w:r>
      <w:r w:rsidR="00344BD5">
        <w:rPr>
          <w:rFonts w:ascii="Arial" w:eastAsia="Calibri" w:hAnsi="Arial" w:cs="Arial"/>
          <w:sz w:val="24"/>
          <w:szCs w:val="24"/>
        </w:rPr>
        <w:t>at least twice a year</w:t>
      </w:r>
      <w:r w:rsidR="00DB4ED8">
        <w:rPr>
          <w:rFonts w:ascii="Arial" w:eastAsia="Calibri" w:hAnsi="Arial" w:cs="Arial"/>
          <w:sz w:val="24"/>
          <w:szCs w:val="24"/>
        </w:rPr>
        <w:t>.</w:t>
      </w:r>
    </w:p>
    <w:p w:rsidR="00DB4ED8" w:rsidRDefault="00DB4ED8" w:rsidP="006A31AE">
      <w:pPr>
        <w:spacing w:after="200" w:line="276" w:lineRule="auto"/>
        <w:rPr>
          <w:rFonts w:ascii="Arial" w:eastAsia="Calibri" w:hAnsi="Arial" w:cs="Arial"/>
          <w:sz w:val="24"/>
          <w:szCs w:val="24"/>
        </w:rPr>
      </w:pPr>
      <w:r>
        <w:rPr>
          <w:rFonts w:ascii="Arial" w:eastAsia="Calibri" w:hAnsi="Arial" w:cs="Arial"/>
          <w:sz w:val="24"/>
          <w:szCs w:val="24"/>
        </w:rPr>
        <w:t xml:space="preserve">Any feedback on this document should be addressed to Edmund Fallon, Senior Corporate Intelligence </w:t>
      </w:r>
      <w:r w:rsidR="004B272D">
        <w:rPr>
          <w:rFonts w:ascii="Arial" w:eastAsia="Calibri" w:hAnsi="Arial" w:cs="Arial"/>
          <w:sz w:val="24"/>
          <w:szCs w:val="24"/>
        </w:rPr>
        <w:t>O</w:t>
      </w:r>
      <w:r>
        <w:rPr>
          <w:rFonts w:ascii="Arial" w:eastAsia="Calibri" w:hAnsi="Arial" w:cs="Arial"/>
          <w:sz w:val="24"/>
          <w:szCs w:val="24"/>
        </w:rPr>
        <w:t xml:space="preserve">fficer, via email : </w:t>
      </w:r>
      <w:hyperlink r:id="rId33" w:history="1">
        <w:r w:rsidRPr="00773D16">
          <w:rPr>
            <w:rStyle w:val="Hyperlink"/>
            <w:rFonts w:ascii="Arial" w:eastAsia="Calibri" w:hAnsi="Arial" w:cs="Arial"/>
            <w:sz w:val="24"/>
            <w:szCs w:val="24"/>
          </w:rPr>
          <w:t>Edmund.Fallon@croydon.gov.uk</w:t>
        </w:r>
      </w:hyperlink>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 xml:space="preserve">. </w:t>
      </w:r>
    </w:p>
    <w:p w:rsidR="006A31AE" w:rsidRPr="006A31AE" w:rsidRDefault="006A31AE" w:rsidP="006A31AE">
      <w:pPr>
        <w:spacing w:after="200" w:line="276" w:lineRule="auto"/>
        <w:rPr>
          <w:rFonts w:ascii="Arial" w:eastAsia="Calibri" w:hAnsi="Arial" w:cs="Arial"/>
          <w:sz w:val="24"/>
          <w:szCs w:val="24"/>
        </w:rPr>
      </w:pPr>
    </w:p>
    <w:p w:rsidR="006A31AE" w:rsidRPr="006A31AE" w:rsidRDefault="006A31AE" w:rsidP="006A31AE">
      <w:pPr>
        <w:spacing w:after="200" w:line="276" w:lineRule="auto"/>
        <w:rPr>
          <w:rFonts w:ascii="Arial" w:eastAsia="Calibri" w:hAnsi="Arial" w:cs="Arial"/>
          <w:sz w:val="24"/>
          <w:szCs w:val="24"/>
        </w:rPr>
      </w:pPr>
    </w:p>
    <w:p w:rsidR="00AE2A25" w:rsidRDefault="00AE2A25" w:rsidP="006A31AE">
      <w:pPr>
        <w:spacing w:after="200" w:line="276" w:lineRule="auto"/>
        <w:rPr>
          <w:rFonts w:ascii="Arial" w:eastAsia="Calibri" w:hAnsi="Arial" w:cs="Arial"/>
          <w:sz w:val="24"/>
          <w:szCs w:val="24"/>
        </w:rPr>
      </w:pPr>
    </w:p>
    <w:p w:rsidR="00AE2A25" w:rsidRDefault="00AE2A25" w:rsidP="006A31AE">
      <w:pPr>
        <w:spacing w:after="200" w:line="276" w:lineRule="auto"/>
        <w:rPr>
          <w:rFonts w:ascii="Arial" w:eastAsia="Calibri" w:hAnsi="Arial" w:cs="Arial"/>
          <w:sz w:val="24"/>
          <w:szCs w:val="24"/>
        </w:rPr>
      </w:pP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The information is organised under the following sections:</w:t>
      </w:r>
    </w:p>
    <w:p w:rsidR="006A31AE" w:rsidRPr="006A31AE" w:rsidRDefault="006A31AE" w:rsidP="006A31AE">
      <w:pPr>
        <w:numPr>
          <w:ilvl w:val="0"/>
          <w:numId w:val="4"/>
        </w:numPr>
        <w:spacing w:after="200" w:line="276" w:lineRule="auto"/>
        <w:contextualSpacing/>
        <w:rPr>
          <w:rFonts w:ascii="Arial" w:eastAsia="Calibri" w:hAnsi="Arial" w:cs="Arial"/>
          <w:sz w:val="24"/>
          <w:szCs w:val="24"/>
        </w:rPr>
      </w:pPr>
      <w:r w:rsidRPr="006A31AE">
        <w:rPr>
          <w:rFonts w:ascii="Arial" w:eastAsia="Calibri" w:hAnsi="Arial" w:cs="Arial"/>
          <w:sz w:val="24"/>
          <w:szCs w:val="24"/>
        </w:rPr>
        <w:t>Executive Summary</w:t>
      </w:r>
    </w:p>
    <w:p w:rsidR="006A31AE" w:rsidRPr="006A31AE" w:rsidRDefault="006A31AE" w:rsidP="006A31AE">
      <w:pPr>
        <w:numPr>
          <w:ilvl w:val="0"/>
          <w:numId w:val="4"/>
        </w:numPr>
        <w:spacing w:after="200" w:line="276" w:lineRule="auto"/>
        <w:contextualSpacing/>
        <w:rPr>
          <w:rFonts w:ascii="Arial" w:eastAsia="Calibri" w:hAnsi="Arial" w:cs="Arial"/>
          <w:sz w:val="24"/>
          <w:szCs w:val="24"/>
        </w:rPr>
      </w:pPr>
      <w:r w:rsidRPr="006A31AE">
        <w:rPr>
          <w:rFonts w:ascii="Arial" w:eastAsia="Calibri" w:hAnsi="Arial" w:cs="Arial"/>
          <w:sz w:val="24"/>
          <w:szCs w:val="24"/>
        </w:rPr>
        <w:t>Population</w:t>
      </w:r>
    </w:p>
    <w:p w:rsidR="006A31AE" w:rsidRPr="006A31AE" w:rsidRDefault="006A31AE" w:rsidP="006A31AE">
      <w:pPr>
        <w:numPr>
          <w:ilvl w:val="0"/>
          <w:numId w:val="4"/>
        </w:numPr>
        <w:spacing w:after="200" w:line="276" w:lineRule="auto"/>
        <w:contextualSpacing/>
        <w:rPr>
          <w:rFonts w:ascii="Arial" w:eastAsia="Calibri" w:hAnsi="Arial" w:cs="Arial"/>
          <w:sz w:val="24"/>
          <w:szCs w:val="24"/>
        </w:rPr>
      </w:pPr>
      <w:r w:rsidRPr="006A31AE">
        <w:rPr>
          <w:rFonts w:ascii="Arial" w:eastAsia="Calibri" w:hAnsi="Arial" w:cs="Arial"/>
          <w:sz w:val="24"/>
          <w:szCs w:val="24"/>
        </w:rPr>
        <w:t>Deprivation</w:t>
      </w:r>
    </w:p>
    <w:p w:rsidR="006A31AE" w:rsidRPr="006A31AE" w:rsidRDefault="006A31AE" w:rsidP="006A31AE">
      <w:pPr>
        <w:numPr>
          <w:ilvl w:val="0"/>
          <w:numId w:val="4"/>
        </w:numPr>
        <w:spacing w:after="200" w:line="276" w:lineRule="auto"/>
        <w:contextualSpacing/>
        <w:rPr>
          <w:rFonts w:ascii="Arial" w:eastAsia="Calibri" w:hAnsi="Arial" w:cs="Arial"/>
          <w:sz w:val="24"/>
          <w:szCs w:val="24"/>
        </w:rPr>
      </w:pPr>
      <w:r w:rsidRPr="006A31AE">
        <w:rPr>
          <w:rFonts w:ascii="Arial" w:eastAsia="Calibri" w:hAnsi="Arial" w:cs="Arial"/>
          <w:sz w:val="24"/>
          <w:szCs w:val="24"/>
        </w:rPr>
        <w:t>Education and skills</w:t>
      </w:r>
    </w:p>
    <w:p w:rsidR="006A31AE" w:rsidRPr="006A31AE" w:rsidRDefault="006A31AE" w:rsidP="006A31AE">
      <w:pPr>
        <w:numPr>
          <w:ilvl w:val="0"/>
          <w:numId w:val="4"/>
        </w:numPr>
        <w:spacing w:after="200" w:line="276" w:lineRule="auto"/>
        <w:contextualSpacing/>
        <w:rPr>
          <w:rFonts w:ascii="Arial" w:eastAsia="Calibri" w:hAnsi="Arial" w:cs="Arial"/>
          <w:sz w:val="24"/>
          <w:szCs w:val="24"/>
        </w:rPr>
      </w:pPr>
      <w:r w:rsidRPr="006A31AE">
        <w:rPr>
          <w:rFonts w:ascii="Arial" w:eastAsia="Calibri" w:hAnsi="Arial" w:cs="Arial"/>
          <w:sz w:val="24"/>
          <w:szCs w:val="24"/>
        </w:rPr>
        <w:t>Economy</w:t>
      </w:r>
    </w:p>
    <w:p w:rsidR="006A31AE" w:rsidRPr="006A31AE" w:rsidRDefault="006A31AE" w:rsidP="006A31AE">
      <w:pPr>
        <w:numPr>
          <w:ilvl w:val="0"/>
          <w:numId w:val="4"/>
        </w:numPr>
        <w:spacing w:after="200" w:line="276" w:lineRule="auto"/>
        <w:contextualSpacing/>
        <w:rPr>
          <w:rFonts w:ascii="Arial" w:eastAsia="Calibri" w:hAnsi="Arial" w:cs="Arial"/>
          <w:sz w:val="24"/>
          <w:szCs w:val="24"/>
        </w:rPr>
      </w:pPr>
      <w:r w:rsidRPr="006A31AE">
        <w:rPr>
          <w:rFonts w:ascii="Arial" w:eastAsia="Calibri" w:hAnsi="Arial" w:cs="Arial"/>
          <w:sz w:val="24"/>
          <w:szCs w:val="24"/>
        </w:rPr>
        <w:t>Housing</w:t>
      </w:r>
    </w:p>
    <w:p w:rsidR="006A31AE" w:rsidRPr="006A31AE" w:rsidRDefault="006A31AE" w:rsidP="006A31AE">
      <w:pPr>
        <w:numPr>
          <w:ilvl w:val="0"/>
          <w:numId w:val="4"/>
        </w:numPr>
        <w:spacing w:after="200" w:line="276" w:lineRule="auto"/>
        <w:contextualSpacing/>
        <w:rPr>
          <w:rFonts w:ascii="Arial" w:eastAsia="Calibri" w:hAnsi="Arial" w:cs="Arial"/>
          <w:sz w:val="24"/>
          <w:szCs w:val="24"/>
        </w:rPr>
      </w:pPr>
      <w:r w:rsidRPr="006A31AE">
        <w:rPr>
          <w:rFonts w:ascii="Arial" w:eastAsia="Calibri" w:hAnsi="Arial" w:cs="Arial"/>
          <w:sz w:val="24"/>
          <w:szCs w:val="24"/>
        </w:rPr>
        <w:t>Health</w:t>
      </w:r>
    </w:p>
    <w:p w:rsidR="006A31AE" w:rsidRPr="006A31AE" w:rsidRDefault="006A31AE" w:rsidP="006A31AE">
      <w:pPr>
        <w:numPr>
          <w:ilvl w:val="0"/>
          <w:numId w:val="4"/>
        </w:numPr>
        <w:spacing w:after="200" w:line="276" w:lineRule="auto"/>
        <w:contextualSpacing/>
        <w:rPr>
          <w:rFonts w:ascii="Arial" w:eastAsia="Calibri" w:hAnsi="Arial" w:cs="Arial"/>
          <w:sz w:val="24"/>
          <w:szCs w:val="24"/>
        </w:rPr>
      </w:pPr>
      <w:r w:rsidRPr="006A31AE">
        <w:rPr>
          <w:rFonts w:ascii="Arial" w:eastAsia="Calibri" w:hAnsi="Arial" w:cs="Arial"/>
          <w:sz w:val="24"/>
          <w:szCs w:val="24"/>
        </w:rPr>
        <w:t>Social Care</w:t>
      </w:r>
    </w:p>
    <w:p w:rsidR="006A31AE" w:rsidRPr="006A31AE" w:rsidRDefault="006A31AE" w:rsidP="006A31AE">
      <w:pPr>
        <w:numPr>
          <w:ilvl w:val="0"/>
          <w:numId w:val="4"/>
        </w:numPr>
        <w:spacing w:after="200" w:line="276" w:lineRule="auto"/>
        <w:contextualSpacing/>
        <w:rPr>
          <w:rFonts w:ascii="Arial" w:eastAsia="Calibri" w:hAnsi="Arial" w:cs="Arial"/>
          <w:sz w:val="24"/>
          <w:szCs w:val="24"/>
        </w:rPr>
      </w:pPr>
      <w:r w:rsidRPr="006A31AE">
        <w:rPr>
          <w:rFonts w:ascii="Arial" w:eastAsia="Calibri" w:hAnsi="Arial" w:cs="Arial"/>
          <w:sz w:val="24"/>
          <w:szCs w:val="24"/>
        </w:rPr>
        <w:t>Community safety</w:t>
      </w:r>
    </w:p>
    <w:p w:rsidR="006A31AE" w:rsidRPr="006A31AE" w:rsidRDefault="006A31AE" w:rsidP="006A31AE">
      <w:pPr>
        <w:numPr>
          <w:ilvl w:val="0"/>
          <w:numId w:val="4"/>
        </w:numPr>
        <w:spacing w:after="200" w:line="276" w:lineRule="auto"/>
        <w:contextualSpacing/>
        <w:rPr>
          <w:rFonts w:ascii="Arial" w:eastAsia="Calibri" w:hAnsi="Arial" w:cs="Arial"/>
          <w:sz w:val="24"/>
          <w:szCs w:val="24"/>
        </w:rPr>
      </w:pPr>
      <w:r w:rsidRPr="006A31AE">
        <w:rPr>
          <w:rFonts w:ascii="Arial" w:eastAsia="Calibri" w:hAnsi="Arial" w:cs="Arial"/>
          <w:sz w:val="24"/>
          <w:szCs w:val="24"/>
        </w:rPr>
        <w:t>Environment and Transport</w:t>
      </w:r>
    </w:p>
    <w:p w:rsidR="006A31AE" w:rsidRPr="00654D63" w:rsidRDefault="006A31AE" w:rsidP="006A31AE">
      <w:pPr>
        <w:spacing w:after="0" w:line="240" w:lineRule="auto"/>
        <w:outlineLvl w:val="0"/>
        <w:rPr>
          <w:rFonts w:ascii="Arial" w:eastAsia="Times New Roman" w:hAnsi="Arial" w:cs="Arial"/>
          <w:b/>
          <w:bCs/>
          <w:color w:val="701471"/>
          <w:sz w:val="28"/>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576E19" w:rsidRPr="006A31AE" w:rsidRDefault="00576E19"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rPr>
          <w:rFonts w:ascii="Arial" w:eastAsia="Times New Roman" w:hAnsi="Arial" w:cs="Arial"/>
          <w:b/>
          <w:bCs/>
          <w:color w:val="701471"/>
          <w:sz w:val="32"/>
          <w:szCs w:val="28"/>
          <w:lang w:eastAsia="en-GB"/>
        </w:rPr>
      </w:pPr>
    </w:p>
    <w:p w:rsidR="006A31AE" w:rsidRDefault="006A31AE">
      <w:pPr>
        <w:rPr>
          <w:rFonts w:ascii="Arial" w:eastAsia="Times New Roman" w:hAnsi="Arial" w:cs="Arial"/>
          <w:b/>
          <w:bCs/>
          <w:color w:val="701471"/>
          <w:sz w:val="32"/>
          <w:szCs w:val="28"/>
          <w:lang w:eastAsia="en-GB"/>
        </w:rPr>
      </w:pPr>
      <w:r>
        <w:rPr>
          <w:rFonts w:ascii="Arial" w:eastAsia="Times New Roman" w:hAnsi="Arial" w:cs="Arial"/>
          <w:b/>
          <w:bCs/>
          <w:color w:val="701471"/>
          <w:sz w:val="32"/>
          <w:szCs w:val="28"/>
          <w:lang w:eastAsia="en-GB"/>
        </w:rPr>
        <w:br w:type="page"/>
      </w:r>
    </w:p>
    <w:p w:rsidR="006A31AE" w:rsidRPr="006A31AE" w:rsidRDefault="006A31AE" w:rsidP="006A31AE">
      <w:pPr>
        <w:spacing w:after="0" w:line="240" w:lineRule="auto"/>
        <w:rPr>
          <w:rFonts w:ascii="Arial" w:eastAsia="Times New Roman" w:hAnsi="Arial" w:cs="Arial"/>
          <w:b/>
          <w:bCs/>
          <w:color w:val="701471"/>
          <w:sz w:val="32"/>
          <w:szCs w:val="28"/>
          <w:lang w:eastAsia="en-GB"/>
        </w:rPr>
      </w:pPr>
      <w:r w:rsidRPr="006A31AE">
        <w:rPr>
          <w:rFonts w:ascii="Arial" w:eastAsia="Calibri" w:hAnsi="Arial" w:cs="Arial"/>
          <w:noProof/>
          <w:sz w:val="24"/>
          <w:szCs w:val="24"/>
          <w:lang w:eastAsia="en-GB"/>
        </w:rPr>
        <w:lastRenderedPageBreak/>
        <mc:AlternateContent>
          <mc:Choice Requires="wps">
            <w:drawing>
              <wp:anchor distT="0" distB="0" distL="114299" distR="114299" simplePos="0" relativeHeight="251749376" behindDoc="0" locked="0" layoutInCell="1" allowOverlap="1" wp14:anchorId="7CFECF7A" wp14:editId="566A8783">
                <wp:simplePos x="0" y="0"/>
                <wp:positionH relativeFrom="column">
                  <wp:posOffset>4312920</wp:posOffset>
                </wp:positionH>
                <wp:positionV relativeFrom="paragraph">
                  <wp:posOffset>458470</wp:posOffset>
                </wp:positionV>
                <wp:extent cx="0" cy="5048250"/>
                <wp:effectExtent l="0" t="0" r="19050" b="19050"/>
                <wp:wrapNone/>
                <wp:docPr id="13759"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48250"/>
                        </a:xfrm>
                        <a:prstGeom prst="straightConnector1">
                          <a:avLst/>
                        </a:prstGeom>
                        <a:noFill/>
                        <a:ln w="9525">
                          <a:solidFill>
                            <a:sysClr val="window" lastClr="FFFFFF">
                              <a:lumMod val="50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6EE2A7A" id="AutoShape 67" o:spid="_x0000_s1026" type="#_x0000_t32" style="position:absolute;margin-left:339.6pt;margin-top:36.1pt;width:0;height:397.5pt;z-index:2517493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" strokecolor="#7f7f7f"/>
            </w:pict>
          </mc:Fallback>
        </mc:AlternateContent>
      </w:r>
      <w:r w:rsidRPr="006A31AE">
        <w:rPr>
          <w:rFonts w:ascii="Arial" w:eastAsia="Times New Roman" w:hAnsi="Arial" w:cs="Arial"/>
          <w:b/>
          <w:bCs/>
          <w:noProof/>
          <w:color w:val="701471"/>
          <w:sz w:val="32"/>
          <w:szCs w:val="28"/>
          <w:lang w:eastAsia="en-GB"/>
        </w:rPr>
        <w:drawing>
          <wp:inline distT="0" distB="0" distL="0" distR="0" wp14:anchorId="4FDD80BC" wp14:editId="7FA08575">
            <wp:extent cx="625675" cy="608689"/>
            <wp:effectExtent l="0" t="0" r="2975" b="0"/>
            <wp:docPr id="42"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4" cstate="print"/>
                    <a:stretch>
                      <a:fillRect/>
                    </a:stretch>
                  </pic:blipFill>
                  <pic:spPr bwMode="auto">
                    <a:xfrm>
                      <a:off x="0" y="0"/>
                      <a:ext cx="625675" cy="608689"/>
                    </a:xfrm>
                    <a:prstGeom prst="rect">
                      <a:avLst/>
                    </a:prstGeom>
                    <a:noFill/>
                    <a:ln w="9525">
                      <a:noFill/>
                      <a:miter lim="800000"/>
                      <a:headEnd/>
                      <a:tailEnd/>
                    </a:ln>
                    <a:effectLst/>
                  </pic:spPr>
                </pic:pic>
              </a:graphicData>
            </a:graphic>
          </wp:inline>
        </w:drawing>
      </w:r>
      <w:r w:rsidRPr="006A31AE">
        <w:rPr>
          <w:rFonts w:ascii="Arial" w:eastAsia="Times New Roman" w:hAnsi="Arial" w:cs="Arial"/>
          <w:b/>
          <w:bCs/>
          <w:color w:val="701471"/>
          <w:sz w:val="32"/>
          <w:szCs w:val="28"/>
          <w:lang w:eastAsia="en-GB"/>
        </w:rPr>
        <w:t xml:space="preserve"> </w:t>
      </w:r>
      <w:r w:rsidRPr="006A31AE">
        <w:rPr>
          <w:rFonts w:ascii="Arial" w:eastAsia="Times New Roman" w:hAnsi="Arial" w:cs="Arial"/>
          <w:b/>
          <w:bCs/>
          <w:color w:val="701471"/>
          <w:sz w:val="40"/>
          <w:szCs w:val="28"/>
          <w:lang w:eastAsia="en-GB"/>
        </w:rPr>
        <w:t>Population</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sym w:font="Wingdings" w:char="F0FC"/>
      </w:r>
      <w:r w:rsidRPr="006A31AE">
        <w:rPr>
          <w:rFonts w:ascii="Arial" w:eastAsia="Times New Roman" w:hAnsi="Arial" w:cs="Arial"/>
          <w:b/>
          <w:bCs/>
          <w:color w:val="701471"/>
          <w:sz w:val="28"/>
          <w:szCs w:val="24"/>
          <w:lang w:eastAsia="en-GB"/>
        </w:rPr>
        <w:t xml:space="preserve"> Areas of progress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692032" behindDoc="0" locked="0" layoutInCell="1" allowOverlap="1" wp14:anchorId="4C2CDF8D" wp14:editId="7088FC69">
                <wp:simplePos x="0" y="0"/>
                <wp:positionH relativeFrom="column">
                  <wp:posOffset>2042160</wp:posOffset>
                </wp:positionH>
                <wp:positionV relativeFrom="paragraph">
                  <wp:posOffset>123825</wp:posOffset>
                </wp:positionV>
                <wp:extent cx="2131060" cy="533400"/>
                <wp:effectExtent l="0" t="0" r="2540" b="0"/>
                <wp:wrapNone/>
                <wp:docPr id="89"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1060" cy="53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0F55A9" w:rsidRDefault="00721450" w:rsidP="006A31AE">
                            <w:pPr>
                              <w:spacing w:after="0" w:line="240" w:lineRule="auto"/>
                              <w:rPr>
                                <w:rFonts w:eastAsia="Times New Roman"/>
                                <w:bCs/>
                                <w:lang w:eastAsia="en-GB"/>
                              </w:rPr>
                            </w:pPr>
                            <w:r>
                              <w:rPr>
                                <w:rFonts w:eastAsia="Times New Roman"/>
                                <w:bCs/>
                                <w:lang w:eastAsia="en-GB"/>
                              </w:rPr>
                              <w:t xml:space="preserve">The </w:t>
                            </w:r>
                            <w:r w:rsidRPr="000F55A9">
                              <w:rPr>
                                <w:rFonts w:eastAsia="Times New Roman"/>
                                <w:bCs/>
                                <w:lang w:eastAsia="en-GB"/>
                              </w:rPr>
                              <w:t>Croydon population continues to grow steadily.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2CDF8D" id="Text Box 110" o:spid="_x0000_s1040" type="#_x0000_t202" style="position:absolute;margin-left:160.8pt;margin-top:9.75pt;width:167.8pt;height:4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" stroked="f">
                <v:textbox>
                  <w:txbxContent>
                    <w:p w:rsidR="00721450" w:rsidRPr="000F55A9" w:rsidRDefault="00721450" w:rsidP="006A31AE">
                      <w:pPr>
                        <w:spacing w:after="0" w:line="240" w:lineRule="auto"/>
                        <w:rPr>
                          <w:rFonts w:eastAsia="Times New Roman"/>
                          <w:bCs/>
                          <w:lang w:eastAsia="en-GB"/>
                        </w:rPr>
                      </w:pPr>
                      <w:r>
                        <w:rPr>
                          <w:rFonts w:eastAsia="Times New Roman"/>
                          <w:bCs/>
                          <w:lang w:eastAsia="en-GB"/>
                        </w:rPr>
                        <w:t xml:space="preserve">The </w:t>
                      </w:r>
                      <w:r w:rsidRPr="000F55A9">
                        <w:rPr>
                          <w:rFonts w:eastAsia="Times New Roman"/>
                          <w:bCs/>
                          <w:lang w:eastAsia="en-GB"/>
                        </w:rPr>
                        <w:t>Croydon population continues to grow steadily.</w:t>
                      </w:r>
                    </w:p>
                  </w:txbxContent>
                </v:textbox>
              </v:shape>
            </w:pict>
          </mc:Fallback>
        </mc:AlternateContent>
      </w:r>
      <w:r w:rsidRPr="006A31AE">
        <w:rPr>
          <w:rFonts w:ascii="Arial" w:eastAsia="Times New Roman" w:hAnsi="Arial" w:cs="Arial"/>
          <w:b/>
          <w:bCs/>
          <w:noProof/>
          <w:color w:val="701471"/>
          <w:sz w:val="28"/>
          <w:szCs w:val="24"/>
          <w:lang w:eastAsia="en-GB"/>
        </w:rPr>
        <w:drawing>
          <wp:inline distT="0" distB="0" distL="0" distR="0" wp14:anchorId="52484054" wp14:editId="38D8BDD8">
            <wp:extent cx="1595120" cy="1046686"/>
            <wp:effectExtent l="0" t="0" r="5080" b="1270"/>
            <wp:docPr id="43" name="Picture 7" descr="TN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NOs.png"/>
                    <pic:cNvPicPr/>
                  </pic:nvPicPr>
                  <pic:blipFill>
                    <a:blip r:embed="rId35" cstate="print"/>
                    <a:stretch>
                      <a:fillRect/>
                    </a:stretch>
                  </pic:blipFill>
                  <pic:spPr>
                    <a:xfrm>
                      <a:off x="0" y="0"/>
                      <a:ext cx="1597859" cy="1048483"/>
                    </a:xfrm>
                    <a:prstGeom prst="rect">
                      <a:avLst/>
                    </a:prstGeom>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8F19A7" w:rsidRPr="006A31AE" w:rsidRDefault="008F19A7"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683840" behindDoc="0" locked="0" layoutInCell="1" allowOverlap="1" wp14:anchorId="6DF7CD73" wp14:editId="5691A7A4">
                <wp:simplePos x="0" y="0"/>
                <wp:positionH relativeFrom="column">
                  <wp:posOffset>2242185</wp:posOffset>
                </wp:positionH>
                <wp:positionV relativeFrom="paragraph">
                  <wp:posOffset>21590</wp:posOffset>
                </wp:positionV>
                <wp:extent cx="2367280" cy="1322705"/>
                <wp:effectExtent l="0" t="0" r="0" b="0"/>
                <wp:wrapNone/>
                <wp:docPr id="87"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7280" cy="13227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B362A5" w:rsidRDefault="00721450" w:rsidP="006A31AE">
                            <w:r w:rsidRPr="00B362A5">
                              <w:t xml:space="preserve">The higher birth rate in 2012 brought added pressures to provide for </w:t>
                            </w:r>
                            <w:r>
                              <w:t xml:space="preserve">an increasing </w:t>
                            </w:r>
                            <w:r w:rsidRPr="00B362A5">
                              <w:t xml:space="preserve">younger children </w:t>
                            </w:r>
                            <w:r>
                              <w:t xml:space="preserve">population </w:t>
                            </w:r>
                            <w:r w:rsidRPr="00B362A5">
                              <w:t xml:space="preserve">in the borough. </w:t>
                            </w:r>
                            <w:r>
                              <w:t xml:space="preserve">The 2017 birth figure is </w:t>
                            </w:r>
                            <w:r w:rsidRPr="00B362A5">
                              <w:t>close to the 2012 level.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F7CD73" id="Text Box 52" o:spid="_x0000_s1041" type="#_x0000_t202" style="position:absolute;margin-left:176.55pt;margin-top:1.7pt;width:186.4pt;height:104.1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bDWiAIAABo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" stroked="f">
                <v:textbox>
                  <w:txbxContent>
                    <w:p w:rsidR="00721450" w:rsidRPr="00B362A5" w:rsidRDefault="00721450" w:rsidP="006A31AE">
                      <w:r w:rsidRPr="00B362A5">
                        <w:t xml:space="preserve">The higher birth rate in 2012 brought added pressures to provide for </w:t>
                      </w:r>
                      <w:r>
                        <w:t xml:space="preserve">an increasing </w:t>
                      </w:r>
                      <w:r w:rsidRPr="00B362A5">
                        <w:t xml:space="preserve">younger children </w:t>
                      </w:r>
                      <w:r>
                        <w:t xml:space="preserve">population </w:t>
                      </w:r>
                      <w:r w:rsidRPr="00B362A5">
                        <w:t xml:space="preserve">in the borough. </w:t>
                      </w:r>
                      <w:r>
                        <w:t xml:space="preserve">The 2017 birth figure is </w:t>
                      </w:r>
                      <w:r w:rsidRPr="00B362A5">
                        <w:t>close to the 2012 level.</w:t>
                      </w:r>
                    </w:p>
                  </w:txbxContent>
                </v:textbox>
              </v:shape>
            </w:pict>
          </mc:Fallback>
        </mc:AlternateContent>
      </w:r>
      <w:r w:rsidRPr="006A31AE">
        <w:rPr>
          <w:rFonts w:ascii="Arial" w:eastAsia="Times New Roman" w:hAnsi="Arial" w:cs="Arial"/>
          <w:b/>
          <w:bCs/>
          <w:noProof/>
          <w:color w:val="701471"/>
          <w:sz w:val="28"/>
          <w:szCs w:val="24"/>
          <w:lang w:eastAsia="en-GB"/>
        </w:rPr>
        <w:drawing>
          <wp:inline distT="0" distB="0" distL="0" distR="0" wp14:anchorId="2CD929F4" wp14:editId="222B3448">
            <wp:extent cx="226344" cy="200025"/>
            <wp:effectExtent l="19050" t="0" r="2256" b="0"/>
            <wp:docPr id="46" name="Picture 1" descr="Warni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 2.png"/>
                    <pic:cNvPicPr/>
                  </pic:nvPicPr>
                  <pic:blipFill>
                    <a:blip r:embed="rId36" cstate="print"/>
                    <a:stretch>
                      <a:fillRect/>
                    </a:stretch>
                  </pic:blipFill>
                  <pic:spPr>
                    <a:xfrm>
                      <a:off x="0" y="0"/>
                      <a:ext cx="226645" cy="200291"/>
                    </a:xfrm>
                    <a:prstGeom prst="rect">
                      <a:avLst/>
                    </a:prstGeom>
                  </pic:spPr>
                </pic:pic>
              </a:graphicData>
            </a:graphic>
          </wp:inline>
        </w:drawing>
      </w:r>
      <w:r w:rsidRPr="006A31AE">
        <w:rPr>
          <w:rFonts w:ascii="Arial" w:eastAsia="Times New Roman" w:hAnsi="Arial" w:cs="Arial"/>
          <w:b/>
          <w:bCs/>
          <w:color w:val="701471"/>
          <w:sz w:val="28"/>
          <w:szCs w:val="24"/>
          <w:lang w:eastAsia="en-GB"/>
        </w:rPr>
        <w:t xml:space="preserve"> Challenges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6E81824C" wp14:editId="79709D22">
            <wp:extent cx="1625600" cy="801560"/>
            <wp:effectExtent l="0" t="0" r="0" b="0"/>
            <wp:docPr id="47" name="Picture 5" descr="Injured m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jured man.png"/>
                    <pic:cNvPicPr/>
                  </pic:nvPicPr>
                  <pic:blipFill>
                    <a:blip r:embed="rId37" cstate="print"/>
                    <a:stretch>
                      <a:fillRect/>
                    </a:stretch>
                  </pic:blipFill>
                  <pic:spPr>
                    <a:xfrm>
                      <a:off x="0" y="0"/>
                      <a:ext cx="1622072" cy="799821"/>
                    </a:xfrm>
                    <a:prstGeom prst="rect">
                      <a:avLst/>
                    </a:prstGeom>
                  </pic:spPr>
                </pic:pic>
              </a:graphicData>
            </a:graphic>
          </wp:inline>
        </w:drawing>
      </w:r>
    </w:p>
    <w:p w:rsidR="00654D63" w:rsidRDefault="00654D63" w:rsidP="006A31AE">
      <w:pPr>
        <w:spacing w:after="0" w:line="240" w:lineRule="auto"/>
        <w:outlineLvl w:val="0"/>
        <w:rPr>
          <w:rFonts w:ascii="Arial" w:eastAsia="Times New Roman" w:hAnsi="Arial" w:cs="Arial"/>
          <w:b/>
          <w:bCs/>
          <w:color w:val="701471"/>
          <w:sz w:val="28"/>
          <w:szCs w:val="24"/>
          <w:lang w:eastAsia="en-GB"/>
        </w:rPr>
      </w:pPr>
    </w:p>
    <w:p w:rsidR="00654D63" w:rsidRDefault="00654D63" w:rsidP="006A31AE">
      <w:pPr>
        <w:spacing w:after="0" w:line="240" w:lineRule="auto"/>
        <w:outlineLvl w:val="0"/>
        <w:rPr>
          <w:rFonts w:ascii="Arial" w:eastAsia="Times New Roman" w:hAnsi="Arial" w:cs="Arial"/>
          <w:b/>
          <w:bCs/>
          <w:color w:val="701471"/>
          <w:sz w:val="28"/>
          <w:szCs w:val="24"/>
          <w:lang w:eastAsia="en-GB"/>
        </w:rPr>
      </w:pPr>
    </w:p>
    <w:p w:rsidR="00654D63" w:rsidRDefault="00654D63" w:rsidP="006A31AE">
      <w:pPr>
        <w:spacing w:after="0" w:line="240" w:lineRule="auto"/>
        <w:outlineLvl w:val="0"/>
        <w:rPr>
          <w:rFonts w:ascii="Arial" w:eastAsia="Times New Roman" w:hAnsi="Arial" w:cs="Arial"/>
          <w:b/>
          <w:bCs/>
          <w:color w:val="701471"/>
          <w:sz w:val="28"/>
          <w:szCs w:val="24"/>
          <w:lang w:eastAsia="en-GB"/>
        </w:rPr>
      </w:pPr>
    </w:p>
    <w:p w:rsidR="00654D63" w:rsidRDefault="00654D63" w:rsidP="006A31AE">
      <w:pPr>
        <w:spacing w:after="0" w:line="240" w:lineRule="auto"/>
        <w:outlineLvl w:val="0"/>
        <w:rPr>
          <w:rFonts w:ascii="Arial" w:eastAsia="Times New Roman" w:hAnsi="Arial" w:cs="Arial"/>
          <w:b/>
          <w:bCs/>
          <w:color w:val="701471"/>
          <w:sz w:val="28"/>
          <w:szCs w:val="24"/>
          <w:lang w:eastAsia="en-GB"/>
        </w:rPr>
      </w:pPr>
    </w:p>
    <w:p w:rsidR="00654D63" w:rsidRDefault="00654D63" w:rsidP="006A31AE">
      <w:pPr>
        <w:spacing w:after="0" w:line="240" w:lineRule="auto"/>
        <w:outlineLvl w:val="0"/>
        <w:rPr>
          <w:rFonts w:ascii="Arial" w:eastAsia="Times New Roman" w:hAnsi="Arial" w:cs="Arial"/>
          <w:b/>
          <w:bCs/>
          <w:color w:val="701471"/>
          <w:sz w:val="28"/>
          <w:szCs w:val="24"/>
          <w:lang w:eastAsia="en-GB"/>
        </w:rPr>
      </w:pPr>
    </w:p>
    <w:p w:rsidR="00654D63" w:rsidRDefault="00654D63" w:rsidP="006A31AE">
      <w:pPr>
        <w:spacing w:after="0" w:line="240" w:lineRule="auto"/>
        <w:outlineLvl w:val="0"/>
        <w:rPr>
          <w:rFonts w:ascii="Arial" w:eastAsia="Times New Roman" w:hAnsi="Arial" w:cs="Arial"/>
          <w:b/>
          <w:bCs/>
          <w:color w:val="701471"/>
          <w:sz w:val="28"/>
          <w:szCs w:val="24"/>
          <w:lang w:eastAsia="en-GB"/>
        </w:rPr>
      </w:pPr>
    </w:p>
    <w:p w:rsidR="00654D63" w:rsidRPr="006A31AE" w:rsidRDefault="00654D63"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sectPr w:rsidR="006A31AE" w:rsidRPr="006A31AE" w:rsidSect="006F0CC1">
          <w:headerReference w:type="default" r:id="rId38"/>
          <w:pgSz w:w="16838" w:h="11906" w:orient="landscape"/>
          <w:pgMar w:top="1688" w:right="1387" w:bottom="1440" w:left="1440" w:header="568" w:footer="708" w:gutter="0"/>
          <w:cols w:num="2" w:space="708"/>
          <w:docGrid w:linePitch="360"/>
        </w:sectPr>
      </w:pPr>
    </w:p>
    <w:p w:rsidR="006A31AE" w:rsidRPr="006A31AE" w:rsidRDefault="006A31AE" w:rsidP="006A31AE">
      <w:pPr>
        <w:spacing w:after="0" w:line="240" w:lineRule="auto"/>
        <w:rPr>
          <w:rFonts w:ascii="Arial" w:eastAsia="Times New Roman" w:hAnsi="Arial" w:cs="Arial"/>
          <w:b/>
          <w:bCs/>
          <w:color w:val="701471"/>
          <w:sz w:val="32"/>
          <w:szCs w:val="28"/>
          <w:lang w:eastAsia="en-GB"/>
        </w:rPr>
      </w:pPr>
      <w:r w:rsidRPr="006A31AE">
        <w:rPr>
          <w:rFonts w:ascii="Arial" w:eastAsia="Calibri" w:hAnsi="Arial" w:cs="Arial"/>
          <w:noProof/>
          <w:sz w:val="24"/>
          <w:szCs w:val="24"/>
          <w:lang w:eastAsia="en-GB"/>
        </w:rPr>
        <w:lastRenderedPageBreak/>
        <mc:AlternateContent>
          <mc:Choice Requires="wps">
            <w:drawing>
              <wp:anchor distT="0" distB="0" distL="114299" distR="114299" simplePos="0" relativeHeight="251746304" behindDoc="0" locked="0" layoutInCell="1" allowOverlap="1" wp14:anchorId="7049278C" wp14:editId="417F0BFD">
                <wp:simplePos x="0" y="0"/>
                <wp:positionH relativeFrom="column">
                  <wp:posOffset>4343400</wp:posOffset>
                </wp:positionH>
                <wp:positionV relativeFrom="paragraph">
                  <wp:posOffset>502285</wp:posOffset>
                </wp:positionV>
                <wp:extent cx="45719" cy="4869180"/>
                <wp:effectExtent l="0" t="0" r="31115" b="26670"/>
                <wp:wrapNone/>
                <wp:docPr id="86" name="AutoShap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19" cy="4869180"/>
                        </a:xfrm>
                        <a:prstGeom prst="straightConnector1">
                          <a:avLst/>
                        </a:prstGeom>
                        <a:noFill/>
                        <a:ln w="9525">
                          <a:solidFill>
                            <a:sysClr val="window" lastClr="FFFFFF">
                              <a:lumMod val="50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030593F" id="AutoShape 67" o:spid="_x0000_s1026" type="#_x0000_t32" style="position:absolute;margin-left:342pt;margin-top:39.55pt;width:3.6pt;height:383.4pt;flip:x;z-index:25174630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" strokecolor="#7f7f7f"/>
            </w:pict>
          </mc:Fallback>
        </mc:AlternateContent>
      </w:r>
      <w:r w:rsidRPr="006A31AE">
        <w:rPr>
          <w:rFonts w:ascii="Arial" w:eastAsia="Times New Roman" w:hAnsi="Arial" w:cs="Arial"/>
          <w:b/>
          <w:bCs/>
          <w:noProof/>
          <w:color w:val="701471"/>
          <w:sz w:val="32"/>
          <w:szCs w:val="28"/>
          <w:lang w:eastAsia="en-GB"/>
        </w:rPr>
        <w:drawing>
          <wp:inline distT="0" distB="0" distL="0" distR="0" wp14:anchorId="41FBB291" wp14:editId="6FFE2D5B">
            <wp:extent cx="575963" cy="608689"/>
            <wp:effectExtent l="19050" t="0" r="0" b="0"/>
            <wp:docPr id="48"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9" cstate="print"/>
                    <a:stretch>
                      <a:fillRect/>
                    </a:stretch>
                  </pic:blipFill>
                  <pic:spPr bwMode="auto">
                    <a:xfrm>
                      <a:off x="0" y="0"/>
                      <a:ext cx="575963" cy="608689"/>
                    </a:xfrm>
                    <a:prstGeom prst="rect">
                      <a:avLst/>
                    </a:prstGeom>
                    <a:noFill/>
                    <a:ln w="9525">
                      <a:noFill/>
                      <a:miter lim="800000"/>
                      <a:headEnd/>
                      <a:tailEnd/>
                    </a:ln>
                    <a:effectLst/>
                  </pic:spPr>
                </pic:pic>
              </a:graphicData>
            </a:graphic>
          </wp:inline>
        </w:drawing>
      </w:r>
      <w:r w:rsidRPr="006A31AE">
        <w:rPr>
          <w:rFonts w:ascii="Arial" w:eastAsia="Times New Roman" w:hAnsi="Arial" w:cs="Arial"/>
          <w:b/>
          <w:bCs/>
          <w:color w:val="701471"/>
          <w:sz w:val="32"/>
          <w:szCs w:val="28"/>
          <w:lang w:eastAsia="en-GB"/>
        </w:rPr>
        <w:t xml:space="preserve"> </w:t>
      </w:r>
      <w:r w:rsidRPr="006A31AE">
        <w:rPr>
          <w:rFonts w:ascii="Arial" w:eastAsia="Times New Roman" w:hAnsi="Arial" w:cs="Arial"/>
          <w:b/>
          <w:bCs/>
          <w:color w:val="701471"/>
          <w:sz w:val="40"/>
          <w:szCs w:val="28"/>
          <w:lang w:eastAsia="en-GB"/>
        </w:rPr>
        <w:t>Deprivation</w:t>
      </w: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6F0CC1" w:rsidRDefault="006F0CC1" w:rsidP="006A31AE">
      <w:pPr>
        <w:spacing w:after="0" w:line="240" w:lineRule="auto"/>
        <w:outlineLvl w:val="0"/>
        <w:rPr>
          <w:rFonts w:ascii="Arial" w:eastAsia="Times New Roman" w:hAnsi="Arial" w:cs="Arial"/>
          <w:b/>
          <w:bCs/>
          <w:color w:val="701471"/>
          <w:sz w:val="28"/>
          <w:szCs w:val="24"/>
          <w:lang w:eastAsia="en-GB"/>
        </w:rPr>
      </w:pPr>
    </w:p>
    <w:p w:rsidR="006F0CC1" w:rsidRPr="006A31AE" w:rsidRDefault="006F0CC1"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sym w:font="Wingdings" w:char="F0FC"/>
      </w:r>
      <w:r w:rsidRPr="006A31AE">
        <w:rPr>
          <w:rFonts w:ascii="Arial" w:eastAsia="Times New Roman" w:hAnsi="Arial" w:cs="Arial"/>
          <w:b/>
          <w:bCs/>
          <w:color w:val="701471"/>
          <w:sz w:val="28"/>
          <w:szCs w:val="24"/>
          <w:lang w:eastAsia="en-GB"/>
        </w:rPr>
        <w:t xml:space="preserve"> Areas of progress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42208" behindDoc="0" locked="0" layoutInCell="1" allowOverlap="1" wp14:anchorId="051EDD3F" wp14:editId="0C1A5DA2">
                <wp:simplePos x="0" y="0"/>
                <wp:positionH relativeFrom="column">
                  <wp:posOffset>1506071</wp:posOffset>
                </wp:positionH>
                <wp:positionV relativeFrom="paragraph">
                  <wp:posOffset>33132</wp:posOffset>
                </wp:positionV>
                <wp:extent cx="2743200" cy="869577"/>
                <wp:effectExtent l="0" t="0" r="0" b="6985"/>
                <wp:wrapNone/>
                <wp:docPr id="85"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86957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0F55A9" w:rsidRDefault="00721450" w:rsidP="006A31AE">
                            <w:pPr>
                              <w:spacing w:after="0" w:line="240" w:lineRule="auto"/>
                              <w:rPr>
                                <w:rFonts w:eastAsia="Times New Roman"/>
                                <w:bCs/>
                                <w:lang w:eastAsia="en-GB"/>
                              </w:rPr>
                            </w:pPr>
                            <w:r>
                              <w:rPr>
                                <w:rFonts w:eastAsia="Times New Roman"/>
                                <w:bCs/>
                                <w:lang w:eastAsia="en-GB"/>
                              </w:rPr>
                              <w:t xml:space="preserve">Under the </w:t>
                            </w:r>
                            <w:r w:rsidRPr="000F55A9">
                              <w:rPr>
                                <w:rFonts w:eastAsia="Times New Roman"/>
                                <w:bCs/>
                                <w:lang w:eastAsia="en-GB"/>
                              </w:rPr>
                              <w:t>Education, skills and training domain</w:t>
                            </w:r>
                            <w:r>
                              <w:rPr>
                                <w:rFonts w:eastAsia="Times New Roman"/>
                                <w:bCs/>
                                <w:lang w:eastAsia="en-GB"/>
                              </w:rPr>
                              <w:t xml:space="preserve">, </w:t>
                            </w:r>
                            <w:r w:rsidRPr="000F55A9">
                              <w:rPr>
                                <w:rFonts w:eastAsia="Times New Roman"/>
                                <w:bCs/>
                                <w:lang w:eastAsia="en-GB"/>
                              </w:rPr>
                              <w:t xml:space="preserve">Croydon </w:t>
                            </w:r>
                            <w:r>
                              <w:rPr>
                                <w:rFonts w:eastAsia="Times New Roman"/>
                                <w:bCs/>
                                <w:lang w:eastAsia="en-GB"/>
                              </w:rPr>
                              <w:t xml:space="preserve">ranked </w:t>
                            </w:r>
                            <w:r w:rsidRPr="000F55A9">
                              <w:rPr>
                                <w:rFonts w:eastAsia="Times New Roman"/>
                                <w:bCs/>
                                <w:lang w:eastAsia="en-GB"/>
                              </w:rPr>
                              <w:t xml:space="preserve">220 </w:t>
                            </w:r>
                            <w:r>
                              <w:rPr>
                                <w:rFonts w:eastAsia="Times New Roman"/>
                                <w:bCs/>
                                <w:lang w:eastAsia="en-GB"/>
                              </w:rPr>
                              <w:t xml:space="preserve">out of 336 </w:t>
                            </w:r>
                            <w:r w:rsidRPr="000F55A9">
                              <w:rPr>
                                <w:rFonts w:eastAsia="Times New Roman"/>
                                <w:bCs/>
                                <w:lang w:eastAsia="en-GB"/>
                              </w:rPr>
                              <w:t>district authorities</w:t>
                            </w:r>
                            <w:r>
                              <w:rPr>
                                <w:rFonts w:eastAsia="Times New Roman"/>
                                <w:bCs/>
                                <w:lang w:eastAsia="en-GB"/>
                              </w:rPr>
                              <w:t xml:space="preserve"> where 1</w:t>
                            </w:r>
                            <w:r w:rsidRPr="004213D9">
                              <w:rPr>
                                <w:rFonts w:eastAsia="Times New Roman"/>
                                <w:bCs/>
                                <w:vertAlign w:val="superscript"/>
                                <w:lang w:eastAsia="en-GB"/>
                              </w:rPr>
                              <w:t>st</w:t>
                            </w:r>
                            <w:r>
                              <w:rPr>
                                <w:rFonts w:eastAsia="Times New Roman"/>
                                <w:bCs/>
                                <w:lang w:eastAsia="en-GB"/>
                              </w:rPr>
                              <w:t xml:space="preserve"> rank is most deprived and 336</w:t>
                            </w:r>
                            <w:r w:rsidRPr="004213D9">
                              <w:rPr>
                                <w:rFonts w:eastAsia="Times New Roman"/>
                                <w:bCs/>
                                <w:vertAlign w:val="superscript"/>
                                <w:lang w:eastAsia="en-GB"/>
                              </w:rPr>
                              <w:t>th</w:t>
                            </w:r>
                            <w:r>
                              <w:rPr>
                                <w:rFonts w:eastAsia="Times New Roman"/>
                                <w:bCs/>
                                <w:lang w:eastAsia="en-GB"/>
                              </w:rPr>
                              <w:t xml:space="preserve"> rank is least deprived.</w:t>
                            </w:r>
                          </w:p>
                          <w:p w:rsidR="00721450" w:rsidRPr="000F55A9" w:rsidRDefault="00721450" w:rsidP="006A31A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1EDD3F" id="Text Box 61" o:spid="_x0000_s1042" type="#_x0000_t202" style="position:absolute;margin-left:118.6pt;margin-top:2.6pt;width:3in;height:68.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" stroked="f">
                <v:textbox>
                  <w:txbxContent>
                    <w:p w:rsidR="00721450" w:rsidRPr="000F55A9" w:rsidRDefault="00721450" w:rsidP="006A31AE">
                      <w:pPr>
                        <w:spacing w:after="0" w:line="240" w:lineRule="auto"/>
                        <w:rPr>
                          <w:rFonts w:eastAsia="Times New Roman"/>
                          <w:bCs/>
                          <w:lang w:eastAsia="en-GB"/>
                        </w:rPr>
                      </w:pPr>
                      <w:r>
                        <w:rPr>
                          <w:rFonts w:eastAsia="Times New Roman"/>
                          <w:bCs/>
                          <w:lang w:eastAsia="en-GB"/>
                        </w:rPr>
                        <w:t xml:space="preserve">Under the </w:t>
                      </w:r>
                      <w:r w:rsidRPr="000F55A9">
                        <w:rPr>
                          <w:rFonts w:eastAsia="Times New Roman"/>
                          <w:bCs/>
                          <w:lang w:eastAsia="en-GB"/>
                        </w:rPr>
                        <w:t>Education, skills and training domain</w:t>
                      </w:r>
                      <w:r>
                        <w:rPr>
                          <w:rFonts w:eastAsia="Times New Roman"/>
                          <w:bCs/>
                          <w:lang w:eastAsia="en-GB"/>
                        </w:rPr>
                        <w:t xml:space="preserve">, </w:t>
                      </w:r>
                      <w:r w:rsidRPr="000F55A9">
                        <w:rPr>
                          <w:rFonts w:eastAsia="Times New Roman"/>
                          <w:bCs/>
                          <w:lang w:eastAsia="en-GB"/>
                        </w:rPr>
                        <w:t xml:space="preserve">Croydon </w:t>
                      </w:r>
                      <w:r>
                        <w:rPr>
                          <w:rFonts w:eastAsia="Times New Roman"/>
                          <w:bCs/>
                          <w:lang w:eastAsia="en-GB"/>
                        </w:rPr>
                        <w:t xml:space="preserve">ranked </w:t>
                      </w:r>
                      <w:r w:rsidRPr="000F55A9">
                        <w:rPr>
                          <w:rFonts w:eastAsia="Times New Roman"/>
                          <w:bCs/>
                          <w:lang w:eastAsia="en-GB"/>
                        </w:rPr>
                        <w:t xml:space="preserve">220 </w:t>
                      </w:r>
                      <w:r>
                        <w:rPr>
                          <w:rFonts w:eastAsia="Times New Roman"/>
                          <w:bCs/>
                          <w:lang w:eastAsia="en-GB"/>
                        </w:rPr>
                        <w:t xml:space="preserve">out of 336 </w:t>
                      </w:r>
                      <w:r w:rsidRPr="000F55A9">
                        <w:rPr>
                          <w:rFonts w:eastAsia="Times New Roman"/>
                          <w:bCs/>
                          <w:lang w:eastAsia="en-GB"/>
                        </w:rPr>
                        <w:t>district authorities</w:t>
                      </w:r>
                      <w:r>
                        <w:rPr>
                          <w:rFonts w:eastAsia="Times New Roman"/>
                          <w:bCs/>
                          <w:lang w:eastAsia="en-GB"/>
                        </w:rPr>
                        <w:t xml:space="preserve"> where 1</w:t>
                      </w:r>
                      <w:r w:rsidRPr="004213D9">
                        <w:rPr>
                          <w:rFonts w:eastAsia="Times New Roman"/>
                          <w:bCs/>
                          <w:vertAlign w:val="superscript"/>
                          <w:lang w:eastAsia="en-GB"/>
                        </w:rPr>
                        <w:t>st</w:t>
                      </w:r>
                      <w:r>
                        <w:rPr>
                          <w:rFonts w:eastAsia="Times New Roman"/>
                          <w:bCs/>
                          <w:lang w:eastAsia="en-GB"/>
                        </w:rPr>
                        <w:t xml:space="preserve"> rank is most deprived and 336</w:t>
                      </w:r>
                      <w:r w:rsidRPr="004213D9">
                        <w:rPr>
                          <w:rFonts w:eastAsia="Times New Roman"/>
                          <w:bCs/>
                          <w:vertAlign w:val="superscript"/>
                          <w:lang w:eastAsia="en-GB"/>
                        </w:rPr>
                        <w:t>th</w:t>
                      </w:r>
                      <w:r>
                        <w:rPr>
                          <w:rFonts w:eastAsia="Times New Roman"/>
                          <w:bCs/>
                          <w:lang w:eastAsia="en-GB"/>
                        </w:rPr>
                        <w:t xml:space="preserve"> rank is least deprived.</w:t>
                      </w:r>
                    </w:p>
                    <w:p w:rsidR="00721450" w:rsidRPr="000F55A9" w:rsidRDefault="00721450" w:rsidP="006A31AE"/>
                  </w:txbxContent>
                </v:textbox>
              </v:shape>
            </w:pict>
          </mc:Fallback>
        </mc:AlternateContent>
      </w:r>
      <w:r w:rsidRPr="006A31AE">
        <w:rPr>
          <w:rFonts w:ascii="Arial" w:eastAsia="Times New Roman" w:hAnsi="Arial" w:cs="Arial"/>
          <w:b/>
          <w:bCs/>
          <w:noProof/>
          <w:color w:val="701471"/>
          <w:sz w:val="28"/>
          <w:szCs w:val="24"/>
          <w:lang w:eastAsia="en-GB"/>
        </w:rPr>
        <w:drawing>
          <wp:inline distT="0" distB="0" distL="0" distR="0" wp14:anchorId="6A86B59D" wp14:editId="4CF236DB">
            <wp:extent cx="1304925" cy="818168"/>
            <wp:effectExtent l="19050" t="0" r="9525" b="0"/>
            <wp:docPr id="51" name="Picture 7" descr="TN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NOs.png"/>
                    <pic:cNvPicPr/>
                  </pic:nvPicPr>
                  <pic:blipFill>
                    <a:blip r:embed="rId40" cstate="print"/>
                    <a:stretch>
                      <a:fillRect/>
                    </a:stretch>
                  </pic:blipFill>
                  <pic:spPr>
                    <a:xfrm>
                      <a:off x="0" y="0"/>
                      <a:ext cx="1309824" cy="821239"/>
                    </a:xfrm>
                    <a:prstGeom prst="rect">
                      <a:avLst/>
                    </a:prstGeom>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576E19" w:rsidRPr="006A31AE" w:rsidRDefault="00576E19"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032F3BD7" wp14:editId="46175722">
            <wp:extent cx="226344" cy="200025"/>
            <wp:effectExtent l="19050" t="0" r="2256" b="0"/>
            <wp:docPr id="52" name="Picture 1" descr="Warni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 2.png"/>
                    <pic:cNvPicPr/>
                  </pic:nvPicPr>
                  <pic:blipFill>
                    <a:blip r:embed="rId36" cstate="print"/>
                    <a:stretch>
                      <a:fillRect/>
                    </a:stretch>
                  </pic:blipFill>
                  <pic:spPr>
                    <a:xfrm>
                      <a:off x="0" y="0"/>
                      <a:ext cx="226645" cy="200291"/>
                    </a:xfrm>
                    <a:prstGeom prst="rect">
                      <a:avLst/>
                    </a:prstGeom>
                  </pic:spPr>
                </pic:pic>
              </a:graphicData>
            </a:graphic>
          </wp:inline>
        </w:drawing>
      </w:r>
      <w:r w:rsidRPr="006A31AE">
        <w:rPr>
          <w:rFonts w:ascii="Arial" w:eastAsia="Times New Roman" w:hAnsi="Arial" w:cs="Arial"/>
          <w:b/>
          <w:bCs/>
          <w:color w:val="701471"/>
          <w:sz w:val="28"/>
          <w:szCs w:val="24"/>
          <w:lang w:eastAsia="en-GB"/>
        </w:rPr>
        <w:t xml:space="preserve"> Challenges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43232" behindDoc="0" locked="0" layoutInCell="1" allowOverlap="1" wp14:anchorId="08769DC1" wp14:editId="498EBCE5">
                <wp:simplePos x="0" y="0"/>
                <wp:positionH relativeFrom="column">
                  <wp:posOffset>1337310</wp:posOffset>
                </wp:positionH>
                <wp:positionV relativeFrom="paragraph">
                  <wp:posOffset>192405</wp:posOffset>
                </wp:positionV>
                <wp:extent cx="2731135" cy="990600"/>
                <wp:effectExtent l="0" t="0" r="0" b="0"/>
                <wp:wrapNone/>
                <wp:docPr id="81"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135" cy="990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0F55A9" w:rsidRDefault="00721450" w:rsidP="006A31AE">
                            <w:r w:rsidRPr="000F55A9">
                              <w:t>Croydon became relatively more deprived compared to other local authorities in England between 2010 and 2015.</w:t>
                            </w:r>
                          </w:p>
                          <w:p w:rsidR="00721450" w:rsidRPr="00451D14" w:rsidRDefault="00721450" w:rsidP="006A31A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769DC1" id="Text Box 62" o:spid="_x0000_s1043" type="#_x0000_t202" style="position:absolute;margin-left:105.3pt;margin-top:15.15pt;width:215.05pt;height:7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sRpiAIAABk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" stroked="f">
                <v:textbox>
                  <w:txbxContent>
                    <w:p w:rsidR="00721450" w:rsidRPr="000F55A9" w:rsidRDefault="00721450" w:rsidP="006A31AE">
                      <w:r w:rsidRPr="000F55A9">
                        <w:t>Croydon became relatively more deprived compared to other local authorities in England between 2010 and 2015.</w:t>
                      </w:r>
                    </w:p>
                    <w:p w:rsidR="00721450" w:rsidRPr="00451D14" w:rsidRDefault="00721450" w:rsidP="006A31AE"/>
                  </w:txbxContent>
                </v:textbox>
              </v:shape>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03F1777C" wp14:editId="61817ECD">
            <wp:extent cx="772460" cy="838200"/>
            <wp:effectExtent l="19050" t="0" r="8590" b="0"/>
            <wp:docPr id="68" name="Picture 5" descr="Injured m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jured man.png"/>
                    <pic:cNvPicPr/>
                  </pic:nvPicPr>
                  <pic:blipFill>
                    <a:blip r:embed="rId41" cstate="print"/>
                    <a:stretch>
                      <a:fillRect/>
                    </a:stretch>
                  </pic:blipFill>
                  <pic:spPr>
                    <a:xfrm>
                      <a:off x="0" y="0"/>
                      <a:ext cx="774427" cy="840334"/>
                    </a:xfrm>
                    <a:prstGeom prst="rect">
                      <a:avLst/>
                    </a:prstGeom>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44256" behindDoc="0" locked="0" layoutInCell="1" allowOverlap="1" wp14:anchorId="3FEA6580" wp14:editId="1E44AFFA">
                <wp:simplePos x="0" y="0"/>
                <wp:positionH relativeFrom="column">
                  <wp:posOffset>1414145</wp:posOffset>
                </wp:positionH>
                <wp:positionV relativeFrom="paragraph">
                  <wp:posOffset>13970</wp:posOffset>
                </wp:positionV>
                <wp:extent cx="3048000" cy="1021080"/>
                <wp:effectExtent l="0" t="0" r="0" b="7620"/>
                <wp:wrapNone/>
                <wp:docPr id="80"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1021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0F55A9" w:rsidRDefault="00721450" w:rsidP="006A31AE">
                            <w:r w:rsidRPr="000F55A9">
                              <w:t xml:space="preserve">There remains geographic inequality in the distribution of deprivation in the borough with the </w:t>
                            </w:r>
                            <w:r>
                              <w:t>north</w:t>
                            </w:r>
                            <w:r w:rsidRPr="000F55A9">
                              <w:t xml:space="preserve"> and </w:t>
                            </w:r>
                            <w:r>
                              <w:t>e</w:t>
                            </w:r>
                            <w:r w:rsidRPr="000F55A9">
                              <w:t>ast of the borough remaining more deprived.</w:t>
                            </w:r>
                          </w:p>
                          <w:p w:rsidR="00721450" w:rsidRPr="00297886" w:rsidRDefault="00721450" w:rsidP="006A31AE">
                            <w:pPr>
                              <w:rPr>
                                <w:color w:val="92D05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EA6580" id="Text Box 63" o:spid="_x0000_s1044" type="#_x0000_t202" style="position:absolute;margin-left:111.35pt;margin-top:1.1pt;width:240pt;height:80.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" stroked="f">
                <v:textbox>
                  <w:txbxContent>
                    <w:p w:rsidR="00721450" w:rsidRPr="000F55A9" w:rsidRDefault="00721450" w:rsidP="006A31AE">
                      <w:r w:rsidRPr="000F55A9">
                        <w:t xml:space="preserve">There remains geographic inequality in the distribution of deprivation in the borough with the </w:t>
                      </w:r>
                      <w:r>
                        <w:t>north</w:t>
                      </w:r>
                      <w:r w:rsidRPr="000F55A9">
                        <w:t xml:space="preserve"> and </w:t>
                      </w:r>
                      <w:r>
                        <w:t>e</w:t>
                      </w:r>
                      <w:r w:rsidRPr="000F55A9">
                        <w:t>ast of the borough remaining more deprived.</w:t>
                      </w:r>
                    </w:p>
                    <w:p w:rsidR="00721450" w:rsidRPr="00297886" w:rsidRDefault="00721450" w:rsidP="006A31AE">
                      <w:pPr>
                        <w:rPr>
                          <w:color w:val="92D050"/>
                        </w:rPr>
                      </w:pPr>
                    </w:p>
                  </w:txbxContent>
                </v:textbox>
              </v:shape>
            </w:pict>
          </mc:Fallback>
        </mc:AlternateContent>
      </w:r>
      <w:r w:rsidRPr="006A31AE">
        <w:rPr>
          <w:rFonts w:ascii="Arial" w:eastAsia="Times New Roman" w:hAnsi="Arial" w:cs="Arial"/>
          <w:b/>
          <w:bCs/>
          <w:noProof/>
          <w:color w:val="701471"/>
          <w:sz w:val="28"/>
          <w:szCs w:val="24"/>
          <w:lang w:eastAsia="en-GB"/>
        </w:rPr>
        <w:drawing>
          <wp:inline distT="0" distB="0" distL="0" distR="0" wp14:anchorId="4C1FC071" wp14:editId="792698D9">
            <wp:extent cx="882066" cy="932184"/>
            <wp:effectExtent l="19050" t="0" r="0" b="0"/>
            <wp:docPr id="70" name="Picture 9" descr="SY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V.png"/>
                    <pic:cNvPicPr/>
                  </pic:nvPicPr>
                  <pic:blipFill>
                    <a:blip r:embed="rId42" cstate="print"/>
                    <a:stretch>
                      <a:fillRect/>
                    </a:stretch>
                  </pic:blipFill>
                  <pic:spPr>
                    <a:xfrm>
                      <a:off x="0" y="0"/>
                      <a:ext cx="882066" cy="932184"/>
                    </a:xfrm>
                    <a:prstGeom prst="rect">
                      <a:avLst/>
                    </a:prstGeom>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45280" behindDoc="0" locked="0" layoutInCell="1" allowOverlap="1" wp14:anchorId="58C2A8F4" wp14:editId="3ED876AD">
                <wp:simplePos x="0" y="0"/>
                <wp:positionH relativeFrom="column">
                  <wp:posOffset>1410335</wp:posOffset>
                </wp:positionH>
                <wp:positionV relativeFrom="paragraph">
                  <wp:posOffset>149225</wp:posOffset>
                </wp:positionV>
                <wp:extent cx="2722880" cy="721360"/>
                <wp:effectExtent l="0" t="0" r="1270" b="2540"/>
                <wp:wrapNone/>
                <wp:docPr id="7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2880" cy="721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490C55" w:rsidRDefault="00721450" w:rsidP="006A31AE">
                            <w:r w:rsidRPr="000F55A9">
                              <w:t xml:space="preserve">Croydon was in the 25 most deprived district authorities in the country for the crime domain in </w:t>
                            </w:r>
                            <w:r>
                              <w:t>the IMD 2015.</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C2A8F4" id="Text Box 64" o:spid="_x0000_s1045" type="#_x0000_t202" style="position:absolute;margin-left:111.05pt;margin-top:11.75pt;width:214.4pt;height:56.8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" stroked="f">
                <v:textbox>
                  <w:txbxContent>
                    <w:p w:rsidR="00721450" w:rsidRPr="00490C55" w:rsidRDefault="00721450" w:rsidP="006A31AE">
                      <w:r w:rsidRPr="000F55A9">
                        <w:t xml:space="preserve">Croydon was in the 25 most deprived district authorities in the country for the crime domain in </w:t>
                      </w:r>
                      <w:r>
                        <w:t>the IMD 2015.</w:t>
                      </w:r>
                    </w:p>
                  </w:txbxContent>
                </v:textbox>
              </v:shape>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114DA31E" wp14:editId="6A776853">
            <wp:extent cx="905375" cy="569092"/>
            <wp:effectExtent l="19050" t="0" r="9025" b="0"/>
            <wp:docPr id="74" name="Picture 8" descr="Couple and ho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ple and house.png"/>
                    <pic:cNvPicPr/>
                  </pic:nvPicPr>
                  <pic:blipFill>
                    <a:blip r:embed="rId43" cstate="print"/>
                    <a:stretch>
                      <a:fillRect/>
                    </a:stretch>
                  </pic:blipFill>
                  <pic:spPr>
                    <a:xfrm>
                      <a:off x="0" y="0"/>
                      <a:ext cx="905375" cy="569092"/>
                    </a:xfrm>
                    <a:prstGeom prst="rect">
                      <a:avLst/>
                    </a:prstGeom>
                  </pic:spPr>
                </pic:pic>
              </a:graphicData>
            </a:graphic>
          </wp:inline>
        </w:drawing>
      </w:r>
    </w:p>
    <w:p w:rsidR="00DD3CE3" w:rsidRDefault="00DD3CE3" w:rsidP="006A31AE">
      <w:pPr>
        <w:spacing w:after="0" w:line="240" w:lineRule="auto"/>
        <w:rPr>
          <w:rFonts w:ascii="Arial" w:eastAsia="Times New Roman" w:hAnsi="Arial" w:cs="Arial"/>
          <w:b/>
          <w:bCs/>
          <w:color w:val="701471"/>
          <w:sz w:val="32"/>
          <w:szCs w:val="28"/>
          <w:lang w:eastAsia="en-GB"/>
        </w:rPr>
      </w:pPr>
    </w:p>
    <w:p w:rsidR="006A31AE" w:rsidRPr="006A31AE" w:rsidRDefault="006A31AE" w:rsidP="006A31AE">
      <w:pPr>
        <w:spacing w:after="0" w:line="240" w:lineRule="auto"/>
        <w:rPr>
          <w:rFonts w:ascii="Arial" w:eastAsia="Times New Roman" w:hAnsi="Arial" w:cs="Arial"/>
          <w:b/>
          <w:bCs/>
          <w:color w:val="701471"/>
          <w:sz w:val="32"/>
          <w:szCs w:val="28"/>
          <w:lang w:eastAsia="en-GB"/>
        </w:rPr>
      </w:pPr>
      <w:r w:rsidRPr="006A31AE">
        <w:rPr>
          <w:rFonts w:ascii="Arial" w:eastAsia="Times New Roman" w:hAnsi="Arial" w:cs="Arial"/>
          <w:b/>
          <w:bCs/>
          <w:noProof/>
          <w:color w:val="701471"/>
          <w:sz w:val="32"/>
          <w:szCs w:val="28"/>
          <w:lang w:eastAsia="en-GB"/>
        </w:rPr>
        <w:lastRenderedPageBreak/>
        <w:drawing>
          <wp:inline distT="0" distB="0" distL="0" distR="0" wp14:anchorId="01EA1B5D" wp14:editId="0D285EC8">
            <wp:extent cx="894011" cy="560530"/>
            <wp:effectExtent l="19050" t="0" r="1339" b="0"/>
            <wp:docPr id="301"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0" cstate="print"/>
                    <a:stretch>
                      <a:fillRect/>
                    </a:stretch>
                  </pic:blipFill>
                  <pic:spPr bwMode="auto">
                    <a:xfrm>
                      <a:off x="0" y="0"/>
                      <a:ext cx="894011" cy="560530"/>
                    </a:xfrm>
                    <a:prstGeom prst="rect">
                      <a:avLst/>
                    </a:prstGeom>
                    <a:noFill/>
                    <a:ln w="9525">
                      <a:noFill/>
                      <a:miter lim="800000"/>
                      <a:headEnd/>
                      <a:tailEnd/>
                    </a:ln>
                    <a:effectLst/>
                  </pic:spPr>
                </pic:pic>
              </a:graphicData>
            </a:graphic>
          </wp:inline>
        </w:drawing>
      </w:r>
      <w:r w:rsidRPr="006A31AE">
        <w:rPr>
          <w:rFonts w:ascii="Arial" w:eastAsia="Times New Roman" w:hAnsi="Arial" w:cs="Arial"/>
          <w:b/>
          <w:bCs/>
          <w:color w:val="701471"/>
          <w:sz w:val="32"/>
          <w:szCs w:val="28"/>
          <w:lang w:eastAsia="en-GB"/>
        </w:rPr>
        <w:t xml:space="preserve"> </w:t>
      </w:r>
      <w:r w:rsidRPr="006A31AE">
        <w:rPr>
          <w:rFonts w:ascii="Arial" w:eastAsia="Times New Roman" w:hAnsi="Arial" w:cs="Arial"/>
          <w:b/>
          <w:bCs/>
          <w:color w:val="701471"/>
          <w:sz w:val="40"/>
          <w:szCs w:val="28"/>
          <w:lang w:eastAsia="en-GB"/>
        </w:rPr>
        <w:t>Education and skills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299" distR="114299" simplePos="0" relativeHeight="251702272" behindDoc="0" locked="0" layoutInCell="1" allowOverlap="1" wp14:anchorId="60C8E7A3" wp14:editId="166B45E7">
                <wp:simplePos x="0" y="0"/>
                <wp:positionH relativeFrom="column">
                  <wp:posOffset>4352924</wp:posOffset>
                </wp:positionH>
                <wp:positionV relativeFrom="paragraph">
                  <wp:posOffset>79375</wp:posOffset>
                </wp:positionV>
                <wp:extent cx="0" cy="5048250"/>
                <wp:effectExtent l="0" t="0" r="19050" b="19050"/>
                <wp:wrapNone/>
                <wp:docPr id="1034" name="AutoShape 1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48250"/>
                        </a:xfrm>
                        <a:prstGeom prst="straightConnector1">
                          <a:avLst/>
                        </a:prstGeom>
                        <a:noFill/>
                        <a:ln w="9525">
                          <a:solidFill>
                            <a:sysClr val="window" lastClr="FFFFFF">
                              <a:lumMod val="50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B5223A" id="AutoShape 107" o:spid="_x0000_s1026" type="#_x0000_t32" style="position:absolute;margin-left:342.75pt;margin-top:6.25pt;width:0;height:397.5pt;z-index:2517022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" strokecolor="#7f7f7f"/>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sym w:font="Wingdings" w:char="F0FC"/>
      </w:r>
      <w:r w:rsidRPr="006A31AE">
        <w:rPr>
          <w:rFonts w:ascii="Arial" w:eastAsia="Times New Roman" w:hAnsi="Arial" w:cs="Arial"/>
          <w:b/>
          <w:bCs/>
          <w:color w:val="701471"/>
          <w:sz w:val="28"/>
          <w:szCs w:val="24"/>
          <w:lang w:eastAsia="en-GB"/>
        </w:rPr>
        <w:t xml:space="preserve"> Areas of progress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697152" behindDoc="0" locked="0" layoutInCell="1" allowOverlap="1" wp14:anchorId="2C65767A" wp14:editId="4B7EEBB4">
                <wp:simplePos x="0" y="0"/>
                <wp:positionH relativeFrom="column">
                  <wp:posOffset>2072640</wp:posOffset>
                </wp:positionH>
                <wp:positionV relativeFrom="paragraph">
                  <wp:posOffset>36195</wp:posOffset>
                </wp:positionV>
                <wp:extent cx="1991360" cy="1757680"/>
                <wp:effectExtent l="0" t="0" r="8890" b="0"/>
                <wp:wrapNone/>
                <wp:docPr id="1048"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1360" cy="1757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1E47A3" w:rsidRDefault="00721450" w:rsidP="006A31AE">
                            <w:pPr>
                              <w:rPr>
                                <w:lang w:eastAsia="en-GB"/>
                              </w:rPr>
                            </w:pPr>
                            <w:r w:rsidRPr="0075414E">
                              <w:rPr>
                                <w:rFonts w:eastAsia="Times New Roman"/>
                                <w:bCs/>
                                <w:lang w:eastAsia="en-GB"/>
                              </w:rPr>
                              <w:t xml:space="preserve">Levels of </w:t>
                            </w:r>
                            <w:r w:rsidRPr="0075414E">
                              <w:rPr>
                                <w:lang w:eastAsia="en-GB"/>
                              </w:rPr>
                              <w:t xml:space="preserve">authorised absences </w:t>
                            </w:r>
                            <w:r>
                              <w:rPr>
                                <w:lang w:eastAsia="en-GB"/>
                              </w:rPr>
                              <w:t xml:space="preserve">as well as permanent exclusions </w:t>
                            </w:r>
                            <w:r w:rsidRPr="001E47A3">
                              <w:rPr>
                                <w:lang w:eastAsia="en-GB"/>
                              </w:rPr>
                              <w:t xml:space="preserve">from primary </w:t>
                            </w:r>
                            <w:r>
                              <w:rPr>
                                <w:lang w:eastAsia="en-GB"/>
                              </w:rPr>
                              <w:t xml:space="preserve">and secondary </w:t>
                            </w:r>
                            <w:r w:rsidRPr="001E47A3">
                              <w:rPr>
                                <w:lang w:eastAsia="en-GB"/>
                              </w:rPr>
                              <w:t xml:space="preserve">schools in Croydon </w:t>
                            </w:r>
                            <w:r>
                              <w:rPr>
                                <w:lang w:eastAsia="en-GB"/>
                              </w:rPr>
                              <w:t>are</w:t>
                            </w:r>
                            <w:r w:rsidRPr="001E47A3">
                              <w:rPr>
                                <w:lang w:eastAsia="en-GB"/>
                              </w:rPr>
                              <w:t xml:space="preserve"> lower than the regional and national average rates.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65767A" id="Text Box 101" o:spid="_x0000_s1046" type="#_x0000_t202" style="position:absolute;margin-left:163.2pt;margin-top:2.85pt;width:156.8pt;height:138.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" stroked="f">
                <v:textbox>
                  <w:txbxContent>
                    <w:p w:rsidR="00721450" w:rsidRPr="001E47A3" w:rsidRDefault="00721450" w:rsidP="006A31AE">
                      <w:pPr>
                        <w:rPr>
                          <w:lang w:eastAsia="en-GB"/>
                        </w:rPr>
                      </w:pPr>
                      <w:r w:rsidRPr="0075414E">
                        <w:rPr>
                          <w:rFonts w:eastAsia="Times New Roman"/>
                          <w:bCs/>
                          <w:lang w:eastAsia="en-GB"/>
                        </w:rPr>
                        <w:t xml:space="preserve">Levels of </w:t>
                      </w:r>
                      <w:r w:rsidRPr="0075414E">
                        <w:rPr>
                          <w:lang w:eastAsia="en-GB"/>
                        </w:rPr>
                        <w:t xml:space="preserve">authorised absences </w:t>
                      </w:r>
                      <w:r>
                        <w:rPr>
                          <w:lang w:eastAsia="en-GB"/>
                        </w:rPr>
                        <w:t xml:space="preserve">as well as permanent exclusions </w:t>
                      </w:r>
                      <w:r w:rsidRPr="001E47A3">
                        <w:rPr>
                          <w:lang w:eastAsia="en-GB"/>
                        </w:rPr>
                        <w:t xml:space="preserve">from primary </w:t>
                      </w:r>
                      <w:r>
                        <w:rPr>
                          <w:lang w:eastAsia="en-GB"/>
                        </w:rPr>
                        <w:t xml:space="preserve">and secondary </w:t>
                      </w:r>
                      <w:r w:rsidRPr="001E47A3">
                        <w:rPr>
                          <w:lang w:eastAsia="en-GB"/>
                        </w:rPr>
                        <w:t xml:space="preserve">schools in Croydon </w:t>
                      </w:r>
                      <w:r>
                        <w:rPr>
                          <w:lang w:eastAsia="en-GB"/>
                        </w:rPr>
                        <w:t>are</w:t>
                      </w:r>
                      <w:r w:rsidRPr="001E47A3">
                        <w:rPr>
                          <w:lang w:eastAsia="en-GB"/>
                        </w:rPr>
                        <w:t xml:space="preserve"> lower than the regional and national average rates.  </w:t>
                      </w:r>
                    </w:p>
                  </w:txbxContent>
                </v:textbox>
              </v:shape>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5F2539DF" wp14:editId="322A05EA">
            <wp:extent cx="1828800" cy="1200021"/>
            <wp:effectExtent l="0" t="0" r="0" b="635"/>
            <wp:docPr id="304" name="Picture 7" descr="TN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NOs.png"/>
                    <pic:cNvPicPr/>
                  </pic:nvPicPr>
                  <pic:blipFill>
                    <a:blip r:embed="rId44" cstate="print"/>
                    <a:stretch>
                      <a:fillRect/>
                    </a:stretch>
                  </pic:blipFill>
                  <pic:spPr>
                    <a:xfrm>
                      <a:off x="0" y="0"/>
                      <a:ext cx="1846143" cy="1211401"/>
                    </a:xfrm>
                    <a:prstGeom prst="rect">
                      <a:avLst/>
                    </a:prstGeom>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696128" behindDoc="0" locked="0" layoutInCell="1" allowOverlap="1" wp14:anchorId="1131BD0D" wp14:editId="3C2E436F">
                <wp:simplePos x="0" y="0"/>
                <wp:positionH relativeFrom="column">
                  <wp:posOffset>2072179</wp:posOffset>
                </wp:positionH>
                <wp:positionV relativeFrom="paragraph">
                  <wp:posOffset>67945</wp:posOffset>
                </wp:positionV>
                <wp:extent cx="2043430" cy="1757680"/>
                <wp:effectExtent l="0" t="0" r="0" b="0"/>
                <wp:wrapNone/>
                <wp:docPr id="295"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3430" cy="1757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3D5027" w:rsidRDefault="00721450" w:rsidP="006A31AE">
                            <w:pPr>
                              <w:rPr>
                                <w:lang w:eastAsia="en-GB"/>
                              </w:rPr>
                            </w:pPr>
                            <w:r>
                              <w:rPr>
                                <w:lang w:eastAsia="en-GB"/>
                              </w:rPr>
                              <w:t>T</w:t>
                            </w:r>
                            <w:r w:rsidRPr="003D5027">
                              <w:rPr>
                                <w:lang w:eastAsia="en-GB"/>
                              </w:rPr>
                              <w:t xml:space="preserve">he gap </w:t>
                            </w:r>
                            <w:r>
                              <w:rPr>
                                <w:lang w:eastAsia="en-GB"/>
                              </w:rPr>
                              <w:t xml:space="preserve">between attainment of a </w:t>
                            </w:r>
                            <w:r w:rsidRPr="003D5027">
                              <w:rPr>
                                <w:lang w:eastAsia="en-GB"/>
                              </w:rPr>
                              <w:t>qualificatio</w:t>
                            </w:r>
                            <w:r>
                              <w:rPr>
                                <w:lang w:eastAsia="en-GB"/>
                              </w:rPr>
                              <w:t xml:space="preserve">n at level 2 with English and Maths by age </w:t>
                            </w:r>
                            <w:r w:rsidRPr="003D5027">
                              <w:rPr>
                                <w:lang w:eastAsia="en-GB"/>
                              </w:rPr>
                              <w:t>19</w:t>
                            </w:r>
                            <w:r>
                              <w:rPr>
                                <w:lang w:eastAsia="en-GB"/>
                              </w:rPr>
                              <w:t xml:space="preserve"> years between those not eligible for FSM and those eligible for FSM </w:t>
                            </w:r>
                            <w:r w:rsidRPr="003D5027">
                              <w:rPr>
                                <w:lang w:eastAsia="en-GB"/>
                              </w:rPr>
                              <w:t xml:space="preserve">is the lowest it has been for 9 years. </w:t>
                            </w:r>
                          </w:p>
                          <w:p w:rsidR="00721450" w:rsidRPr="000F55A9" w:rsidRDefault="00721450" w:rsidP="006A31AE">
                            <w:pPr>
                              <w:rPr>
                                <w:color w:val="FF00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31BD0D" id="Text Box 100" o:spid="_x0000_s1047" type="#_x0000_t202" style="position:absolute;margin-left:163.15pt;margin-top:5.35pt;width:160.9pt;height:138.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RD0iQIAABw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" stroked="f">
                <v:textbox>
                  <w:txbxContent>
                    <w:p w:rsidR="00721450" w:rsidRPr="003D5027" w:rsidRDefault="00721450" w:rsidP="006A31AE">
                      <w:pPr>
                        <w:rPr>
                          <w:lang w:eastAsia="en-GB"/>
                        </w:rPr>
                      </w:pPr>
                      <w:r>
                        <w:rPr>
                          <w:lang w:eastAsia="en-GB"/>
                        </w:rPr>
                        <w:t>T</w:t>
                      </w:r>
                      <w:r w:rsidRPr="003D5027">
                        <w:rPr>
                          <w:lang w:eastAsia="en-GB"/>
                        </w:rPr>
                        <w:t xml:space="preserve">he gap </w:t>
                      </w:r>
                      <w:r>
                        <w:rPr>
                          <w:lang w:eastAsia="en-GB"/>
                        </w:rPr>
                        <w:t xml:space="preserve">between attainment of a </w:t>
                      </w:r>
                      <w:r w:rsidRPr="003D5027">
                        <w:rPr>
                          <w:lang w:eastAsia="en-GB"/>
                        </w:rPr>
                        <w:t>qualificatio</w:t>
                      </w:r>
                      <w:r>
                        <w:rPr>
                          <w:lang w:eastAsia="en-GB"/>
                        </w:rPr>
                        <w:t xml:space="preserve">n at level 2 with English and Maths by age </w:t>
                      </w:r>
                      <w:r w:rsidRPr="003D5027">
                        <w:rPr>
                          <w:lang w:eastAsia="en-GB"/>
                        </w:rPr>
                        <w:t>19</w:t>
                      </w:r>
                      <w:r>
                        <w:rPr>
                          <w:lang w:eastAsia="en-GB"/>
                        </w:rPr>
                        <w:t xml:space="preserve"> years between those not eligible for FSM and those eligible for FSM </w:t>
                      </w:r>
                      <w:r w:rsidRPr="003D5027">
                        <w:rPr>
                          <w:lang w:eastAsia="en-GB"/>
                        </w:rPr>
                        <w:t xml:space="preserve">is the lowest it has been for 9 years. </w:t>
                      </w:r>
                    </w:p>
                    <w:p w:rsidR="00721450" w:rsidRPr="000F55A9" w:rsidRDefault="00721450" w:rsidP="006A31AE">
                      <w:pPr>
                        <w:rPr>
                          <w:color w:val="FF0000"/>
                        </w:rPr>
                      </w:pPr>
                    </w:p>
                  </w:txbxContent>
                </v:textbox>
              </v:shape>
            </w:pict>
          </mc:Fallback>
        </mc:AlternateContent>
      </w:r>
      <w:r w:rsidRPr="006A31AE">
        <w:rPr>
          <w:rFonts w:ascii="Arial" w:eastAsia="Times New Roman" w:hAnsi="Arial" w:cs="Arial"/>
          <w:b/>
          <w:bCs/>
          <w:color w:val="701471"/>
          <w:sz w:val="28"/>
          <w:szCs w:val="24"/>
          <w:lang w:eastAsia="en-GB"/>
        </w:rPr>
        <w:t>Free School meals</w:t>
      </w:r>
    </w:p>
    <w:p w:rsid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55DDDD81" wp14:editId="3B877215">
            <wp:extent cx="1270000" cy="1270000"/>
            <wp:effectExtent l="0" t="0" r="6350" b="635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FSM.png"/>
                    <pic:cNvPicPr/>
                  </pic:nvPicPr>
                  <pic:blipFill>
                    <a:blip r:embed="rId45">
                      <a:extLst>
                        <a:ext uri="{28A0092B-C50C-407E-A947-70E740481C1C}">
                          <a14:useLocalDpi xmlns:a14="http://schemas.microsoft.com/office/drawing/2010/main" val="0"/>
                        </a:ext>
                      </a:extLst>
                    </a:blip>
                    <a:stretch>
                      <a:fillRect/>
                    </a:stretch>
                  </pic:blipFill>
                  <pic:spPr>
                    <a:xfrm>
                      <a:off x="0" y="0"/>
                      <a:ext cx="1277579" cy="1277579"/>
                    </a:xfrm>
                    <a:prstGeom prst="rect">
                      <a:avLst/>
                    </a:prstGeom>
                  </pic:spPr>
                </pic:pic>
              </a:graphicData>
            </a:graphic>
          </wp:inline>
        </w:drawing>
      </w:r>
    </w:p>
    <w:p w:rsidR="00576E19" w:rsidRPr="006A31AE" w:rsidRDefault="00576E19" w:rsidP="006A31AE">
      <w:pPr>
        <w:spacing w:after="0" w:line="240" w:lineRule="auto"/>
        <w:outlineLvl w:val="0"/>
        <w:rPr>
          <w:rFonts w:ascii="Arial" w:eastAsia="Times New Roman" w:hAnsi="Arial" w:cs="Arial"/>
          <w:b/>
          <w:bCs/>
          <w:color w:val="701471"/>
          <w:sz w:val="28"/>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4B272D" w:rsidRDefault="004B272D" w:rsidP="006A31AE">
      <w:pPr>
        <w:spacing w:after="0" w:line="240" w:lineRule="auto"/>
        <w:outlineLvl w:val="0"/>
        <w:rPr>
          <w:rFonts w:ascii="Arial" w:eastAsia="Times New Roman" w:hAnsi="Arial" w:cs="Arial"/>
          <w:b/>
          <w:bCs/>
          <w:color w:val="701471"/>
          <w:sz w:val="28"/>
          <w:szCs w:val="24"/>
          <w:lang w:eastAsia="en-GB"/>
        </w:rPr>
      </w:pPr>
    </w:p>
    <w:p w:rsidR="004B272D" w:rsidRDefault="004B272D" w:rsidP="006A31AE">
      <w:pPr>
        <w:spacing w:after="0" w:line="240" w:lineRule="auto"/>
        <w:outlineLvl w:val="0"/>
        <w:rPr>
          <w:rFonts w:ascii="Arial" w:eastAsia="Times New Roman" w:hAnsi="Arial" w:cs="Arial"/>
          <w:b/>
          <w:bCs/>
          <w:color w:val="701471"/>
          <w:sz w:val="28"/>
          <w:szCs w:val="24"/>
          <w:lang w:eastAsia="en-GB"/>
        </w:rPr>
      </w:pPr>
    </w:p>
    <w:p w:rsidR="004B272D" w:rsidRDefault="004B272D" w:rsidP="006A31AE">
      <w:pPr>
        <w:spacing w:after="0" w:line="240" w:lineRule="auto"/>
        <w:outlineLvl w:val="0"/>
        <w:rPr>
          <w:rFonts w:ascii="Arial" w:eastAsia="Times New Roman" w:hAnsi="Arial" w:cs="Arial"/>
          <w:b/>
          <w:bCs/>
          <w:color w:val="701471"/>
          <w:sz w:val="28"/>
          <w:szCs w:val="24"/>
          <w:lang w:eastAsia="en-GB"/>
        </w:rPr>
      </w:pPr>
    </w:p>
    <w:p w:rsidR="004B272D" w:rsidRPr="006A31AE" w:rsidRDefault="004B272D"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56306FC3" wp14:editId="1B3C6768">
            <wp:extent cx="226344" cy="200025"/>
            <wp:effectExtent l="19050" t="0" r="2256" b="0"/>
            <wp:docPr id="306" name="Picture 1" descr="Warni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 2.png"/>
                    <pic:cNvPicPr/>
                  </pic:nvPicPr>
                  <pic:blipFill>
                    <a:blip r:embed="rId36" cstate="print"/>
                    <a:stretch>
                      <a:fillRect/>
                    </a:stretch>
                  </pic:blipFill>
                  <pic:spPr>
                    <a:xfrm>
                      <a:off x="0" y="0"/>
                      <a:ext cx="226645" cy="200291"/>
                    </a:xfrm>
                    <a:prstGeom prst="rect">
                      <a:avLst/>
                    </a:prstGeom>
                  </pic:spPr>
                </pic:pic>
              </a:graphicData>
            </a:graphic>
          </wp:inline>
        </w:drawing>
      </w:r>
      <w:r w:rsidRPr="006A31AE">
        <w:rPr>
          <w:rFonts w:ascii="Arial" w:eastAsia="Times New Roman" w:hAnsi="Arial" w:cs="Arial"/>
          <w:b/>
          <w:bCs/>
          <w:color w:val="701471"/>
          <w:sz w:val="28"/>
          <w:szCs w:val="24"/>
          <w:lang w:eastAsia="en-GB"/>
        </w:rPr>
        <w:t xml:space="preserve"> Challenges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698176" behindDoc="0" locked="0" layoutInCell="1" allowOverlap="1" wp14:anchorId="7757B2E8" wp14:editId="7A775BF9">
                <wp:simplePos x="0" y="0"/>
                <wp:positionH relativeFrom="column">
                  <wp:posOffset>1340485</wp:posOffset>
                </wp:positionH>
                <wp:positionV relativeFrom="paragraph">
                  <wp:posOffset>193040</wp:posOffset>
                </wp:positionV>
                <wp:extent cx="2731135" cy="830580"/>
                <wp:effectExtent l="0" t="0" r="0" b="7620"/>
                <wp:wrapNone/>
                <wp:docPr id="297"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135" cy="830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8C015D" w:rsidRDefault="00721450" w:rsidP="006A31AE">
                            <w:r w:rsidRPr="008C015D">
                              <w:t>Take up of funded hours in Early Years settings is still below regional and national averages.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57B2E8" id="Text Box 102" o:spid="_x0000_s1048" type="#_x0000_t202" style="position:absolute;margin-left:105.55pt;margin-top:15.2pt;width:215.05pt;height:65.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" stroked="f">
                <v:textbox>
                  <w:txbxContent>
                    <w:p w:rsidR="00721450" w:rsidRPr="008C015D" w:rsidRDefault="00721450" w:rsidP="006A31AE">
                      <w:r w:rsidRPr="008C015D">
                        <w:t>Take up of funded hours in Early Years settings is still below regional and national averages.</w:t>
                      </w:r>
                    </w:p>
                  </w:txbxContent>
                </v:textbox>
              </v:shape>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50105CA9" wp14:editId="1EBFAD51">
            <wp:extent cx="772886" cy="959089"/>
            <wp:effectExtent l="0" t="0" r="8255" b="0"/>
            <wp:docPr id="30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73776" cy="960193"/>
                    </a:xfrm>
                    <a:prstGeom prst="rect">
                      <a:avLst/>
                    </a:prstGeom>
                    <a:noFill/>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8"/>
          <w:lang w:eastAsia="en-GB"/>
        </w:rPr>
      </w:pPr>
    </w:p>
    <w:p w:rsidR="006A31AE" w:rsidRPr="006A31AE" w:rsidRDefault="006A31AE" w:rsidP="006A31AE">
      <w:pPr>
        <w:spacing w:after="0" w:line="240" w:lineRule="auto"/>
        <w:outlineLvl w:val="0"/>
        <w:rPr>
          <w:rFonts w:ascii="Arial" w:eastAsia="Times New Roman" w:hAnsi="Arial" w:cs="Arial"/>
          <w:b/>
          <w:bCs/>
          <w:color w:val="701471"/>
          <w:sz w:val="72"/>
          <w:szCs w:val="72"/>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699200" behindDoc="0" locked="0" layoutInCell="1" allowOverlap="1" wp14:anchorId="3A68C1CF" wp14:editId="5FE003AE">
                <wp:simplePos x="0" y="0"/>
                <wp:positionH relativeFrom="column">
                  <wp:posOffset>1377200</wp:posOffset>
                </wp:positionH>
                <wp:positionV relativeFrom="paragraph">
                  <wp:posOffset>7447</wp:posOffset>
                </wp:positionV>
                <wp:extent cx="2258290" cy="644236"/>
                <wp:effectExtent l="0" t="0" r="8890" b="3810"/>
                <wp:wrapNone/>
                <wp:docPr id="298"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290" cy="64423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490C55" w:rsidRDefault="00721450" w:rsidP="006A31AE">
                            <w:r w:rsidRPr="008C015D">
                              <w:t>Attainment at Key Stage 2, though improving</w:t>
                            </w:r>
                            <w:r>
                              <w:t xml:space="preserve"> in Croydon</w:t>
                            </w:r>
                            <w:r w:rsidRPr="008C015D">
                              <w:t>,</w:t>
                            </w:r>
                            <w:r>
                              <w:t xml:space="preserve"> is still a concern.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A68C1CF" id="Text Box 104" o:spid="_x0000_s1049" type="#_x0000_t202" style="position:absolute;margin-left:108.45pt;margin-top:.6pt;width:177.8pt;height:50.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" stroked="f">
                <v:textbox>
                  <w:txbxContent>
                    <w:p w:rsidR="00721450" w:rsidRPr="00490C55" w:rsidRDefault="00721450" w:rsidP="006A31AE">
                      <w:r w:rsidRPr="008C015D">
                        <w:t>Attainment at Key Stage 2, though improving</w:t>
                      </w:r>
                      <w:r>
                        <w:t xml:space="preserve"> in Croydon</w:t>
                      </w:r>
                      <w:r w:rsidRPr="008C015D">
                        <w:t>,</w:t>
                      </w:r>
                      <w:r>
                        <w:t xml:space="preserve"> is still a concern.</w:t>
                      </w:r>
                    </w:p>
                  </w:txbxContent>
                </v:textbox>
              </v:shape>
            </w:pict>
          </mc:Fallback>
        </mc:AlternateContent>
      </w:r>
      <w:r w:rsidRPr="006A31AE">
        <w:rPr>
          <w:rFonts w:ascii="Arial" w:eastAsia="Times New Roman" w:hAnsi="Arial" w:cs="Arial"/>
          <w:b/>
          <w:bCs/>
          <w:color w:val="701471"/>
          <w:sz w:val="72"/>
          <w:szCs w:val="72"/>
          <w:lang w:eastAsia="en-GB"/>
        </w:rPr>
        <w:t>KS2</w:t>
      </w:r>
    </w:p>
    <w:p w:rsidR="006A31AE" w:rsidRPr="006A31AE" w:rsidRDefault="006A31AE" w:rsidP="006A31AE">
      <w:pPr>
        <w:spacing w:after="0" w:line="240" w:lineRule="auto"/>
        <w:outlineLvl w:val="0"/>
        <w:rPr>
          <w:rFonts w:ascii="Arial" w:eastAsia="Times New Roman" w:hAnsi="Arial" w:cs="Arial"/>
          <w:b/>
          <w:bCs/>
          <w:color w:val="701471"/>
          <w:sz w:val="48"/>
          <w:szCs w:val="48"/>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01248" behindDoc="0" locked="0" layoutInCell="1" allowOverlap="1" wp14:anchorId="2FFA101D" wp14:editId="27490393">
                <wp:simplePos x="0" y="0"/>
                <wp:positionH relativeFrom="column">
                  <wp:posOffset>1339215</wp:posOffset>
                </wp:positionH>
                <wp:positionV relativeFrom="paragraph">
                  <wp:posOffset>264795</wp:posOffset>
                </wp:positionV>
                <wp:extent cx="2756535" cy="907415"/>
                <wp:effectExtent l="0" t="0" r="5715" b="6985"/>
                <wp:wrapNone/>
                <wp:docPr id="299"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6535" cy="9074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8C015D" w:rsidRDefault="00721450" w:rsidP="006A31AE">
                            <w:r w:rsidRPr="008C015D">
                              <w:t>The proportion of pupils achieving grades AAB or above at Key Stage 5 is still much lower than the regional and national averages.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FA101D" id="Text Box 106" o:spid="_x0000_s1050" type="#_x0000_t202" style="position:absolute;margin-left:105.45pt;margin-top:20.85pt;width:217.05pt;height:71.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" stroked="f">
                <v:textbox>
                  <w:txbxContent>
                    <w:p w:rsidR="00721450" w:rsidRPr="008C015D" w:rsidRDefault="00721450" w:rsidP="006A31AE">
                      <w:r w:rsidRPr="008C015D">
                        <w:t>The proportion of pupils achieving grades AAB or above at Key Stage 5 is still much lower than the regional and national averages.</w:t>
                      </w:r>
                    </w:p>
                  </w:txbxContent>
                </v:textbox>
              </v:shape>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16"/>
          <w:szCs w:val="16"/>
          <w:lang w:eastAsia="en-GB"/>
        </w:rPr>
      </w:pPr>
    </w:p>
    <w:p w:rsidR="006A31AE" w:rsidRPr="006A31AE" w:rsidRDefault="006A31AE" w:rsidP="006A31AE">
      <w:pPr>
        <w:spacing w:after="0" w:line="240" w:lineRule="auto"/>
        <w:outlineLvl w:val="0"/>
        <w:rPr>
          <w:rFonts w:ascii="Arial" w:eastAsia="Times New Roman" w:hAnsi="Arial" w:cs="Arial"/>
          <w:b/>
          <w:bCs/>
          <w:color w:val="701471"/>
          <w:sz w:val="72"/>
          <w:szCs w:val="72"/>
          <w:lang w:eastAsia="en-GB"/>
        </w:rPr>
      </w:pPr>
      <w:r w:rsidRPr="006A31AE">
        <w:rPr>
          <w:rFonts w:ascii="Arial" w:eastAsia="Times New Roman" w:hAnsi="Arial" w:cs="Arial"/>
          <w:b/>
          <w:bCs/>
          <w:color w:val="701471"/>
          <w:sz w:val="72"/>
          <w:szCs w:val="72"/>
          <w:lang w:eastAsia="en-GB"/>
        </w:rPr>
        <w:t>KS5</w:t>
      </w:r>
    </w:p>
    <w:p w:rsidR="006A31AE" w:rsidRPr="006A31AE" w:rsidRDefault="006A31AE" w:rsidP="006A31AE">
      <w:pPr>
        <w:spacing w:after="0" w:line="240" w:lineRule="auto"/>
        <w:outlineLvl w:val="0"/>
        <w:rPr>
          <w:rFonts w:ascii="Arial" w:eastAsia="Times New Roman" w:hAnsi="Arial" w:cs="Arial"/>
          <w:b/>
          <w:bCs/>
          <w:color w:val="701471"/>
          <w:sz w:val="24"/>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0"/>
          <w:szCs w:val="20"/>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4B272D" w:rsidRPr="006A31AE" w:rsidRDefault="004B272D" w:rsidP="006A31AE">
      <w:pPr>
        <w:spacing w:after="0" w:line="240" w:lineRule="auto"/>
        <w:outlineLvl w:val="0"/>
        <w:rPr>
          <w:rFonts w:ascii="Arial" w:eastAsia="Times New Roman" w:hAnsi="Arial" w:cs="Arial"/>
          <w:b/>
          <w:bCs/>
          <w:color w:val="701471"/>
          <w:sz w:val="28"/>
          <w:szCs w:val="24"/>
          <w:lang w:eastAsia="en-GB"/>
        </w:rPr>
      </w:pPr>
    </w:p>
    <w:p w:rsidR="00576E19" w:rsidRPr="006A31AE" w:rsidRDefault="00576E19" w:rsidP="00576E19">
      <w:pPr>
        <w:spacing w:after="0" w:line="240" w:lineRule="auto"/>
        <w:rPr>
          <w:rFonts w:ascii="Arial" w:eastAsia="Times New Roman" w:hAnsi="Arial" w:cs="Arial"/>
          <w:b/>
          <w:bCs/>
          <w:color w:val="701471"/>
          <w:sz w:val="32"/>
          <w:szCs w:val="28"/>
          <w:lang w:eastAsia="en-GB"/>
        </w:rPr>
      </w:pPr>
      <w:r w:rsidRPr="006A31AE">
        <w:rPr>
          <w:rFonts w:ascii="Arial" w:eastAsia="Times New Roman" w:hAnsi="Arial" w:cs="Arial"/>
          <w:b/>
          <w:bCs/>
          <w:noProof/>
          <w:color w:val="701471"/>
          <w:sz w:val="32"/>
          <w:szCs w:val="28"/>
          <w:lang w:eastAsia="en-GB"/>
        </w:rPr>
        <w:lastRenderedPageBreak/>
        <w:drawing>
          <wp:inline distT="0" distB="0" distL="0" distR="0" wp14:anchorId="61C5774C" wp14:editId="6F7E92D2">
            <wp:extent cx="968829" cy="842461"/>
            <wp:effectExtent l="0" t="0" r="3175" b="0"/>
            <wp:docPr id="44" name="Picture 13"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47" cstate="print"/>
                    <a:stretch>
                      <a:fillRect/>
                    </a:stretch>
                  </pic:blipFill>
                  <pic:spPr>
                    <a:xfrm>
                      <a:off x="0" y="0"/>
                      <a:ext cx="978255" cy="850657"/>
                    </a:xfrm>
                    <a:prstGeom prst="rect">
                      <a:avLst/>
                    </a:prstGeom>
                  </pic:spPr>
                </pic:pic>
              </a:graphicData>
            </a:graphic>
          </wp:inline>
        </w:drawing>
      </w:r>
      <w:r w:rsidRPr="00576E19">
        <w:rPr>
          <w:rFonts w:ascii="Arial" w:eastAsia="Times New Roman" w:hAnsi="Arial" w:cs="Arial"/>
          <w:b/>
          <w:bCs/>
          <w:color w:val="701471"/>
          <w:sz w:val="40"/>
          <w:szCs w:val="28"/>
          <w:lang w:eastAsia="en-GB"/>
        </w:rPr>
        <w:t xml:space="preserve"> </w:t>
      </w:r>
      <w:r w:rsidRPr="006A31AE">
        <w:rPr>
          <w:rFonts w:ascii="Arial" w:eastAsia="Times New Roman" w:hAnsi="Arial" w:cs="Arial"/>
          <w:b/>
          <w:bCs/>
          <w:color w:val="701471"/>
          <w:sz w:val="40"/>
          <w:szCs w:val="28"/>
          <w:lang w:eastAsia="en-GB"/>
        </w:rPr>
        <w:t>E</w:t>
      </w:r>
      <w:r>
        <w:rPr>
          <w:rFonts w:ascii="Arial" w:eastAsia="Times New Roman" w:hAnsi="Arial" w:cs="Arial"/>
          <w:b/>
          <w:bCs/>
          <w:color w:val="701471"/>
          <w:sz w:val="40"/>
          <w:szCs w:val="28"/>
          <w:lang w:eastAsia="en-GB"/>
        </w:rPr>
        <w:t>conomy</w:t>
      </w:r>
    </w:p>
    <w:p w:rsidR="00277CF4" w:rsidRDefault="00277CF4"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299" distR="114299" simplePos="0" relativeHeight="251706368" behindDoc="0" locked="0" layoutInCell="1" allowOverlap="1" wp14:anchorId="5BA98DCA" wp14:editId="12B17359">
                <wp:simplePos x="0" y="0"/>
                <wp:positionH relativeFrom="column">
                  <wp:posOffset>4352924</wp:posOffset>
                </wp:positionH>
                <wp:positionV relativeFrom="paragraph">
                  <wp:posOffset>79375</wp:posOffset>
                </wp:positionV>
                <wp:extent cx="0" cy="5048250"/>
                <wp:effectExtent l="0" t="0" r="19050" b="19050"/>
                <wp:wrapNone/>
                <wp:docPr id="76" name="AutoShap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48250"/>
                        </a:xfrm>
                        <a:prstGeom prst="straightConnector1">
                          <a:avLst/>
                        </a:prstGeom>
                        <a:noFill/>
                        <a:ln w="9525">
                          <a:solidFill>
                            <a:sysClr val="window" lastClr="FFFFFF">
                              <a:lumMod val="50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5BFB803" id="AutoShape 77" o:spid="_x0000_s1026" type="#_x0000_t32" style="position:absolute;margin-left:342.75pt;margin-top:6.25pt;width:0;height:397.5pt;z-index:2517063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" strokecolor="#7f7f7f"/>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sym w:font="Wingdings" w:char="F0FC"/>
      </w:r>
      <w:r w:rsidRPr="006A31AE">
        <w:rPr>
          <w:rFonts w:ascii="Arial" w:eastAsia="Times New Roman" w:hAnsi="Arial" w:cs="Arial"/>
          <w:b/>
          <w:bCs/>
          <w:color w:val="701471"/>
          <w:sz w:val="28"/>
          <w:szCs w:val="24"/>
          <w:lang w:eastAsia="en-GB"/>
        </w:rPr>
        <w:t xml:space="preserve"> Areas of progress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03296" behindDoc="0" locked="0" layoutInCell="1" allowOverlap="1" wp14:anchorId="3CA2E590" wp14:editId="504DA30C">
                <wp:simplePos x="0" y="0"/>
                <wp:positionH relativeFrom="column">
                  <wp:posOffset>1687287</wp:posOffset>
                </wp:positionH>
                <wp:positionV relativeFrom="paragraph">
                  <wp:posOffset>75565</wp:posOffset>
                </wp:positionV>
                <wp:extent cx="2286000" cy="631371"/>
                <wp:effectExtent l="0" t="0" r="0" b="0"/>
                <wp:wrapNone/>
                <wp:docPr id="73"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63137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9F3260" w:rsidRDefault="00721450" w:rsidP="006A31AE">
                            <w:r w:rsidRPr="009F3260">
                              <w:rPr>
                                <w:rFonts w:eastAsia="Times New Roman"/>
                                <w:bCs/>
                                <w:lang w:eastAsia="en-GB"/>
                              </w:rPr>
                              <w:t>The number of businesses continues to grow.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A2E590" id="Text Box 71" o:spid="_x0000_s1051" type="#_x0000_t202" style="position:absolute;margin-left:132.85pt;margin-top:5.95pt;width:180pt;height:49.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" stroked="f">
                <v:textbox>
                  <w:txbxContent>
                    <w:p w:rsidR="00721450" w:rsidRPr="009F3260" w:rsidRDefault="00721450" w:rsidP="006A31AE">
                      <w:r w:rsidRPr="009F3260">
                        <w:rPr>
                          <w:rFonts w:eastAsia="Times New Roman"/>
                          <w:bCs/>
                          <w:lang w:eastAsia="en-GB"/>
                        </w:rPr>
                        <w:t>The number of businesses continues to grow.</w:t>
                      </w:r>
                    </w:p>
                  </w:txbxContent>
                </v:textbox>
              </v:shape>
            </w:pict>
          </mc:Fallback>
        </mc:AlternateContent>
      </w:r>
      <w:r w:rsidRPr="006A31AE">
        <w:rPr>
          <w:rFonts w:ascii="Arial" w:eastAsia="Times New Roman" w:hAnsi="Arial" w:cs="Arial"/>
          <w:b/>
          <w:bCs/>
          <w:noProof/>
          <w:color w:val="701471"/>
          <w:sz w:val="28"/>
          <w:szCs w:val="24"/>
          <w:lang w:eastAsia="en-GB"/>
        </w:rPr>
        <w:drawing>
          <wp:inline distT="0" distB="0" distL="0" distR="0" wp14:anchorId="4D74E61D" wp14:editId="18ACCFD0">
            <wp:extent cx="1213963" cy="794657"/>
            <wp:effectExtent l="0" t="0" r="5715" b="571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21628" cy="799675"/>
                    </a:xfrm>
                    <a:prstGeom prst="rect">
                      <a:avLst/>
                    </a:prstGeom>
                    <a:noFill/>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04320" behindDoc="0" locked="0" layoutInCell="1" allowOverlap="1" wp14:anchorId="38AD19E8" wp14:editId="63C7ADB9">
                <wp:simplePos x="0" y="0"/>
                <wp:positionH relativeFrom="column">
                  <wp:posOffset>1687286</wp:posOffset>
                </wp:positionH>
                <wp:positionV relativeFrom="paragraph">
                  <wp:posOffset>168095</wp:posOffset>
                </wp:positionV>
                <wp:extent cx="2188028" cy="653142"/>
                <wp:effectExtent l="0" t="0" r="3175" b="0"/>
                <wp:wrapNone/>
                <wp:docPr id="71"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8028" cy="6531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277CF4" w:rsidRDefault="00721450" w:rsidP="00277CF4">
                            <w:pPr>
                              <w:spacing w:after="0" w:line="240" w:lineRule="auto"/>
                              <w:rPr>
                                <w:rFonts w:eastAsia="Times New Roman"/>
                                <w:bCs/>
                                <w:lang w:eastAsia="en-GB"/>
                              </w:rPr>
                            </w:pPr>
                            <w:r w:rsidRPr="00EE3DEA">
                              <w:rPr>
                                <w:rFonts w:eastAsia="Times New Roman"/>
                                <w:bCs/>
                                <w:lang w:eastAsia="en-GB"/>
                              </w:rPr>
                              <w:t xml:space="preserve">The proportion of out of work claimants has been going down every year for </w:t>
                            </w:r>
                            <w:r w:rsidRPr="009F3260">
                              <w:rPr>
                                <w:rFonts w:eastAsia="Times New Roman"/>
                                <w:bCs/>
                                <w:lang w:eastAsia="en-GB"/>
                              </w:rPr>
                              <w:t>the last 5 years.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AD19E8" id="Text Box 73" o:spid="_x0000_s1052" type="#_x0000_t202" style="position:absolute;margin-left:132.85pt;margin-top:13.25pt;width:172.3pt;height:51.4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jjdhwIAABk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" stroked="f">
                <v:textbox>
                  <w:txbxContent>
                    <w:p w:rsidR="00721450" w:rsidRPr="00277CF4" w:rsidRDefault="00721450" w:rsidP="00277CF4">
                      <w:pPr>
                        <w:spacing w:after="0" w:line="240" w:lineRule="auto"/>
                        <w:rPr>
                          <w:rFonts w:eastAsia="Times New Roman"/>
                          <w:bCs/>
                          <w:lang w:eastAsia="en-GB"/>
                        </w:rPr>
                      </w:pPr>
                      <w:r w:rsidRPr="00EE3DEA">
                        <w:rPr>
                          <w:rFonts w:eastAsia="Times New Roman"/>
                          <w:bCs/>
                          <w:lang w:eastAsia="en-GB"/>
                        </w:rPr>
                        <w:t xml:space="preserve">The proportion of out of work claimants has been going down every year for </w:t>
                      </w:r>
                      <w:r w:rsidRPr="009F3260">
                        <w:rPr>
                          <w:rFonts w:eastAsia="Times New Roman"/>
                          <w:bCs/>
                          <w:lang w:eastAsia="en-GB"/>
                        </w:rPr>
                        <w:t>the last 5 years.</w:t>
                      </w:r>
                    </w:p>
                  </w:txbxContent>
                </v:textbox>
              </v:shape>
            </w:pict>
          </mc:Fallback>
        </mc:AlternateContent>
      </w:r>
    </w:p>
    <w:p w:rsidR="006A31AE" w:rsidRPr="006A31AE" w:rsidRDefault="003227AA"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1A2A701A" wp14:editId="691B5F8C">
            <wp:extent cx="1197429" cy="785231"/>
            <wp:effectExtent l="0" t="0" r="3175" b="0"/>
            <wp:docPr id="13971" name="Picture 31" descr="TN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 name="Picture 31" descr="TNOs.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07100" cy="791573"/>
                    </a:xfrm>
                    <a:prstGeom prst="rect">
                      <a:avLst/>
                    </a:prstGeom>
                    <a:noFill/>
                    <a:ln>
                      <a:noFill/>
                    </a:ln>
                    <a:extLst/>
                  </pic:spPr>
                </pic:pic>
              </a:graphicData>
            </a:graphic>
          </wp:inline>
        </w:drawing>
      </w:r>
    </w:p>
    <w:p w:rsidR="00277CF4" w:rsidRDefault="00277CF4"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277CF4"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07392" behindDoc="0" locked="0" layoutInCell="1" allowOverlap="1" wp14:anchorId="761A64AE" wp14:editId="6D95514F">
                <wp:simplePos x="0" y="0"/>
                <wp:positionH relativeFrom="margin">
                  <wp:posOffset>1687195</wp:posOffset>
                </wp:positionH>
                <wp:positionV relativeFrom="paragraph">
                  <wp:posOffset>201295</wp:posOffset>
                </wp:positionV>
                <wp:extent cx="2286000" cy="887095"/>
                <wp:effectExtent l="0" t="0" r="0" b="8255"/>
                <wp:wrapNone/>
                <wp:docPr id="109"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887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053A76" w:rsidRDefault="00721450" w:rsidP="006A31AE">
                            <w:r w:rsidRPr="00053A76">
                              <w:t>Latest figures show that the proportion of out of work claimants in Croydon is lower than both the London and England averages.</w:t>
                            </w:r>
                          </w:p>
                          <w:p w:rsidR="00721450" w:rsidRPr="00490C55" w:rsidRDefault="00721450" w:rsidP="006A31A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1A64AE" id="_x0000_s1053" type="#_x0000_t202" style="position:absolute;margin-left:132.85pt;margin-top:15.85pt;width:180pt;height:69.8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" stroked="f">
                <v:textbox>
                  <w:txbxContent>
                    <w:p w:rsidR="00721450" w:rsidRPr="00053A76" w:rsidRDefault="00721450" w:rsidP="006A31AE">
                      <w:r w:rsidRPr="00053A76">
                        <w:t>Latest figures show that the proportion of out of work claimants in Croydon is lower than both the London and England averages.</w:t>
                      </w:r>
                    </w:p>
                    <w:p w:rsidR="00721450" w:rsidRPr="00490C55" w:rsidRDefault="00721450" w:rsidP="006A31AE"/>
                  </w:txbxContent>
                </v:textbox>
                <w10:wrap anchorx="margin"/>
              </v:shape>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32"/>
          <w:szCs w:val="24"/>
          <w:lang w:eastAsia="en-GB"/>
        </w:rPr>
      </w:pPr>
      <w:r w:rsidRPr="006A31AE">
        <w:rPr>
          <w:rFonts w:ascii="Arial" w:eastAsia="Times New Roman" w:hAnsi="Arial" w:cs="Arial"/>
          <w:b/>
          <w:bCs/>
          <w:noProof/>
          <w:color w:val="701471"/>
          <w:sz w:val="28"/>
          <w:szCs w:val="24"/>
          <w:lang w:eastAsia="en-GB"/>
        </w:rPr>
        <w:drawing>
          <wp:inline distT="0" distB="0" distL="0" distR="0" wp14:anchorId="145D2555" wp14:editId="546DFB6E">
            <wp:extent cx="822960" cy="78989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37244" cy="803605"/>
                    </a:xfrm>
                    <a:prstGeom prst="rect">
                      <a:avLst/>
                    </a:prstGeom>
                    <a:noFill/>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277CF4" w:rsidRDefault="00277CF4"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1A5384BA" wp14:editId="11179E47">
            <wp:extent cx="226344" cy="200025"/>
            <wp:effectExtent l="19050" t="0" r="2256" b="0"/>
            <wp:docPr id="82" name="Picture 1" descr="Warni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 2.png"/>
                    <pic:cNvPicPr/>
                  </pic:nvPicPr>
                  <pic:blipFill>
                    <a:blip r:embed="rId36" cstate="print"/>
                    <a:stretch>
                      <a:fillRect/>
                    </a:stretch>
                  </pic:blipFill>
                  <pic:spPr>
                    <a:xfrm>
                      <a:off x="0" y="0"/>
                      <a:ext cx="226645" cy="200291"/>
                    </a:xfrm>
                    <a:prstGeom prst="rect">
                      <a:avLst/>
                    </a:prstGeom>
                  </pic:spPr>
                </pic:pic>
              </a:graphicData>
            </a:graphic>
          </wp:inline>
        </w:drawing>
      </w:r>
      <w:r w:rsidRPr="006A31AE">
        <w:rPr>
          <w:rFonts w:ascii="Arial" w:eastAsia="Times New Roman" w:hAnsi="Arial" w:cs="Arial"/>
          <w:b/>
          <w:bCs/>
          <w:color w:val="701471"/>
          <w:sz w:val="28"/>
          <w:szCs w:val="24"/>
          <w:lang w:eastAsia="en-GB"/>
        </w:rPr>
        <w:t xml:space="preserve"> Challenges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3227AA" w:rsidRDefault="006A31AE" w:rsidP="006A31AE">
      <w:pPr>
        <w:spacing w:after="0" w:line="240" w:lineRule="auto"/>
        <w:outlineLvl w:val="0"/>
        <w:rPr>
          <w:rFonts w:ascii="Arial" w:eastAsia="Times New Roman" w:hAnsi="Arial" w:cs="Arial"/>
          <w:b/>
          <w:bCs/>
          <w:sz w:val="96"/>
          <w:szCs w:val="96"/>
          <w:lang w:eastAsia="en-GB"/>
        </w:rPr>
      </w:pPr>
      <w:r w:rsidRPr="006A31AE">
        <w:rPr>
          <w:rFonts w:ascii="Arial" w:eastAsia="Times New Roman" w:hAnsi="Arial" w:cs="Arial"/>
          <w:b/>
          <w:bCs/>
          <w:noProof/>
          <w:color w:val="00B050"/>
          <w:sz w:val="96"/>
          <w:szCs w:val="96"/>
          <w:lang w:eastAsia="en-GB"/>
        </w:rPr>
        <mc:AlternateContent>
          <mc:Choice Requires="wps">
            <w:drawing>
              <wp:anchor distT="0" distB="0" distL="114300" distR="114300" simplePos="0" relativeHeight="251705344" behindDoc="0" locked="0" layoutInCell="1" allowOverlap="1" wp14:anchorId="521FC0F0" wp14:editId="2739AB67">
                <wp:simplePos x="0" y="0"/>
                <wp:positionH relativeFrom="margin">
                  <wp:posOffset>6494236</wp:posOffset>
                </wp:positionH>
                <wp:positionV relativeFrom="paragraph">
                  <wp:posOffset>145324</wp:posOffset>
                </wp:positionV>
                <wp:extent cx="2175164" cy="533400"/>
                <wp:effectExtent l="0" t="0" r="0" b="0"/>
                <wp:wrapNone/>
                <wp:docPr id="69"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5164" cy="533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92012D" w:rsidRDefault="00721450" w:rsidP="006A31AE">
                            <w:r w:rsidRPr="0092012D">
                              <w:t>The job density in Croydon remains low.</w:t>
                            </w:r>
                          </w:p>
                          <w:p w:rsidR="00721450" w:rsidRDefault="00721450" w:rsidP="006A31AE">
                            <w:r>
                              <w:t>.</w:t>
                            </w:r>
                          </w:p>
                          <w:p w:rsidR="00721450" w:rsidRPr="00490C55" w:rsidRDefault="00721450" w:rsidP="006A31A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1FC0F0" id="Text Box 74" o:spid="_x0000_s1054" type="#_x0000_t202" style="position:absolute;margin-left:511.35pt;margin-top:11.45pt;width:171.25pt;height:42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" stroked="f">
                <v:textbox>
                  <w:txbxContent>
                    <w:p w:rsidR="00721450" w:rsidRPr="0092012D" w:rsidRDefault="00721450" w:rsidP="006A31AE">
                      <w:r w:rsidRPr="0092012D">
                        <w:t>The job density in Croydon remains low.</w:t>
                      </w:r>
                    </w:p>
                    <w:p w:rsidR="00721450" w:rsidRDefault="00721450" w:rsidP="006A31AE">
                      <w:r>
                        <w:t>.</w:t>
                      </w:r>
                    </w:p>
                    <w:p w:rsidR="00721450" w:rsidRPr="00490C55" w:rsidRDefault="00721450" w:rsidP="006A31AE"/>
                  </w:txbxContent>
                </v:textbox>
                <w10:wrap anchorx="margin"/>
              </v:shape>
            </w:pict>
          </mc:Fallback>
        </mc:AlternateContent>
      </w:r>
      <w:r w:rsidRPr="006A31AE">
        <w:rPr>
          <w:rFonts w:ascii="Arial" w:eastAsia="Times New Roman" w:hAnsi="Arial" w:cs="Arial"/>
          <w:b/>
          <w:bCs/>
          <w:color w:val="00B050"/>
          <w:sz w:val="96"/>
          <w:szCs w:val="96"/>
          <w:lang w:eastAsia="en-GB"/>
        </w:rPr>
        <w:t>0.59</w:t>
      </w:r>
    </w:p>
    <w:p w:rsidR="006A31AE" w:rsidRPr="008F19A7" w:rsidRDefault="006A31AE" w:rsidP="006A31AE">
      <w:pPr>
        <w:spacing w:after="0" w:line="240" w:lineRule="auto"/>
        <w:rPr>
          <w:rFonts w:ascii="Arial" w:eastAsia="Times New Roman" w:hAnsi="Arial" w:cs="Arial"/>
          <w:bCs/>
          <w:sz w:val="32"/>
          <w:szCs w:val="28"/>
          <w:lang w:eastAsia="en-GB"/>
        </w:rPr>
      </w:pPr>
    </w:p>
    <w:p w:rsidR="006A31AE" w:rsidRPr="008F19A7" w:rsidRDefault="006A31AE" w:rsidP="006A31AE">
      <w:pPr>
        <w:spacing w:after="0" w:line="240" w:lineRule="auto"/>
        <w:rPr>
          <w:rFonts w:ascii="Arial" w:eastAsia="Times New Roman" w:hAnsi="Arial" w:cs="Arial"/>
          <w:bCs/>
          <w:sz w:val="32"/>
          <w:szCs w:val="28"/>
          <w:lang w:eastAsia="en-GB"/>
        </w:rPr>
      </w:pPr>
    </w:p>
    <w:p w:rsidR="006A31AE" w:rsidRPr="008F19A7" w:rsidRDefault="006A31AE" w:rsidP="006A31AE">
      <w:pPr>
        <w:spacing w:after="0" w:line="240" w:lineRule="auto"/>
        <w:rPr>
          <w:rFonts w:ascii="Arial" w:eastAsia="Times New Roman" w:hAnsi="Arial" w:cs="Arial"/>
          <w:bCs/>
          <w:sz w:val="32"/>
          <w:szCs w:val="28"/>
          <w:lang w:eastAsia="en-GB"/>
        </w:rPr>
      </w:pPr>
    </w:p>
    <w:p w:rsidR="00DD3CE3" w:rsidRPr="008F19A7" w:rsidRDefault="00DD3CE3" w:rsidP="006A31AE">
      <w:pPr>
        <w:spacing w:after="0" w:line="240" w:lineRule="auto"/>
        <w:rPr>
          <w:rFonts w:ascii="Arial" w:eastAsia="Times New Roman" w:hAnsi="Arial" w:cs="Arial"/>
          <w:bCs/>
          <w:sz w:val="32"/>
          <w:szCs w:val="28"/>
          <w:lang w:eastAsia="en-GB"/>
        </w:rPr>
      </w:pPr>
    </w:p>
    <w:p w:rsidR="00DD3CE3" w:rsidRPr="008F19A7" w:rsidRDefault="00DD3CE3" w:rsidP="006A31AE">
      <w:pPr>
        <w:spacing w:after="0" w:line="240" w:lineRule="auto"/>
        <w:rPr>
          <w:rFonts w:ascii="Arial" w:eastAsia="Times New Roman" w:hAnsi="Arial" w:cs="Arial"/>
          <w:bCs/>
          <w:sz w:val="32"/>
          <w:szCs w:val="28"/>
          <w:lang w:eastAsia="en-GB"/>
        </w:rPr>
      </w:pPr>
    </w:p>
    <w:p w:rsidR="00DD3CE3" w:rsidRPr="008F19A7" w:rsidRDefault="00DD3CE3" w:rsidP="006A31AE">
      <w:pPr>
        <w:spacing w:after="0" w:line="240" w:lineRule="auto"/>
        <w:rPr>
          <w:rFonts w:ascii="Arial" w:eastAsia="Times New Roman" w:hAnsi="Arial" w:cs="Arial"/>
          <w:bCs/>
          <w:sz w:val="32"/>
          <w:szCs w:val="28"/>
          <w:lang w:eastAsia="en-GB"/>
        </w:rPr>
      </w:pPr>
    </w:p>
    <w:p w:rsidR="00DD3CE3" w:rsidRPr="008F19A7" w:rsidRDefault="00DD3CE3" w:rsidP="006A31AE">
      <w:pPr>
        <w:spacing w:after="0" w:line="240" w:lineRule="auto"/>
        <w:rPr>
          <w:rFonts w:ascii="Arial" w:eastAsia="Times New Roman" w:hAnsi="Arial" w:cs="Arial"/>
          <w:bCs/>
          <w:sz w:val="32"/>
          <w:szCs w:val="28"/>
          <w:lang w:eastAsia="en-GB"/>
        </w:rPr>
      </w:pPr>
    </w:p>
    <w:p w:rsidR="006A31AE" w:rsidRPr="006A31AE" w:rsidRDefault="006A31AE" w:rsidP="006A31AE">
      <w:pPr>
        <w:spacing w:after="200" w:line="276" w:lineRule="auto"/>
        <w:rPr>
          <w:rFonts w:ascii="Arial" w:eastAsia="Times New Roman" w:hAnsi="Arial" w:cs="Arial"/>
          <w:b/>
          <w:bCs/>
          <w:color w:val="701471"/>
          <w:sz w:val="32"/>
          <w:szCs w:val="28"/>
          <w:lang w:eastAsia="en-GB"/>
        </w:rPr>
      </w:pPr>
      <w:r w:rsidRPr="006A31AE">
        <w:rPr>
          <w:rFonts w:ascii="Arial" w:eastAsia="Times New Roman" w:hAnsi="Arial" w:cs="Arial"/>
          <w:b/>
          <w:bCs/>
          <w:color w:val="701471"/>
          <w:sz w:val="32"/>
          <w:szCs w:val="28"/>
          <w:lang w:eastAsia="en-GB"/>
        </w:rPr>
        <w:br w:type="page"/>
      </w:r>
    </w:p>
    <w:p w:rsidR="006A31AE" w:rsidRPr="006A31AE" w:rsidRDefault="006A31AE" w:rsidP="006A31AE">
      <w:pPr>
        <w:spacing w:after="0" w:line="240" w:lineRule="auto"/>
        <w:rPr>
          <w:rFonts w:ascii="Arial" w:eastAsia="Times New Roman" w:hAnsi="Arial" w:cs="Arial"/>
          <w:b/>
          <w:bCs/>
          <w:color w:val="701471"/>
          <w:sz w:val="32"/>
          <w:szCs w:val="28"/>
          <w:lang w:eastAsia="en-GB"/>
        </w:rPr>
      </w:pPr>
      <w:r w:rsidRPr="006A31AE">
        <w:rPr>
          <w:rFonts w:ascii="Arial" w:eastAsia="Times New Roman" w:hAnsi="Arial" w:cs="Arial"/>
          <w:b/>
          <w:bCs/>
          <w:noProof/>
          <w:color w:val="701471"/>
          <w:sz w:val="32"/>
          <w:szCs w:val="28"/>
          <w:lang w:eastAsia="en-GB"/>
        </w:rPr>
        <w:lastRenderedPageBreak/>
        <w:drawing>
          <wp:inline distT="0" distB="0" distL="0" distR="0" wp14:anchorId="6A715DB1" wp14:editId="1A242FE3">
            <wp:extent cx="856328" cy="692150"/>
            <wp:effectExtent l="0" t="0" r="1270" b="0"/>
            <wp:docPr id="13326"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49" cstate="print"/>
                    <a:stretch>
                      <a:fillRect/>
                    </a:stretch>
                  </pic:blipFill>
                  <pic:spPr bwMode="auto">
                    <a:xfrm>
                      <a:off x="0" y="0"/>
                      <a:ext cx="862293" cy="696972"/>
                    </a:xfrm>
                    <a:prstGeom prst="rect">
                      <a:avLst/>
                    </a:prstGeom>
                    <a:noFill/>
                    <a:ln w="9525">
                      <a:noFill/>
                      <a:miter lim="800000"/>
                      <a:headEnd/>
                      <a:tailEnd/>
                    </a:ln>
                    <a:effectLst/>
                  </pic:spPr>
                </pic:pic>
              </a:graphicData>
            </a:graphic>
          </wp:inline>
        </w:drawing>
      </w:r>
      <w:r w:rsidRPr="006A31AE">
        <w:rPr>
          <w:rFonts w:ascii="Arial" w:eastAsia="Times New Roman" w:hAnsi="Arial" w:cs="Arial"/>
          <w:b/>
          <w:bCs/>
          <w:color w:val="701471"/>
          <w:sz w:val="32"/>
          <w:szCs w:val="28"/>
          <w:lang w:eastAsia="en-GB"/>
        </w:rPr>
        <w:t xml:space="preserve"> </w:t>
      </w:r>
      <w:r w:rsidRPr="006A31AE">
        <w:rPr>
          <w:rFonts w:ascii="Arial" w:eastAsia="Times New Roman" w:hAnsi="Arial" w:cs="Arial"/>
          <w:b/>
          <w:bCs/>
          <w:color w:val="701471"/>
          <w:sz w:val="40"/>
          <w:szCs w:val="28"/>
          <w:lang w:eastAsia="en-GB"/>
        </w:rPr>
        <w:t>Housing</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299" distR="114299" simplePos="0" relativeHeight="251712512" behindDoc="0" locked="0" layoutInCell="1" allowOverlap="1" wp14:anchorId="794DD01C" wp14:editId="3935A84D">
                <wp:simplePos x="0" y="0"/>
                <wp:positionH relativeFrom="column">
                  <wp:posOffset>4352924</wp:posOffset>
                </wp:positionH>
                <wp:positionV relativeFrom="paragraph">
                  <wp:posOffset>79375</wp:posOffset>
                </wp:positionV>
                <wp:extent cx="0" cy="5048250"/>
                <wp:effectExtent l="0" t="0" r="19050" b="19050"/>
                <wp:wrapNone/>
                <wp:docPr id="314"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48250"/>
                        </a:xfrm>
                        <a:prstGeom prst="straightConnector1">
                          <a:avLst/>
                        </a:prstGeom>
                        <a:noFill/>
                        <a:ln w="9525">
                          <a:solidFill>
                            <a:sysClr val="window" lastClr="FFFFFF">
                              <a:lumMod val="50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D96FDAE" id="AutoShape 97" o:spid="_x0000_s1026" type="#_x0000_t32" style="position:absolute;margin-left:342.75pt;margin-top:6.25pt;width:0;height:397.5pt;z-index:25171251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" strokecolor="#7f7f7f"/>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sym w:font="Wingdings" w:char="F0FC"/>
      </w:r>
      <w:r w:rsidRPr="006A31AE">
        <w:rPr>
          <w:rFonts w:ascii="Arial" w:eastAsia="Times New Roman" w:hAnsi="Arial" w:cs="Arial"/>
          <w:b/>
          <w:bCs/>
          <w:color w:val="701471"/>
          <w:sz w:val="28"/>
          <w:szCs w:val="24"/>
          <w:lang w:eastAsia="en-GB"/>
        </w:rPr>
        <w:t xml:space="preserve"> Areas of progress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09440" behindDoc="0" locked="0" layoutInCell="1" allowOverlap="1" wp14:anchorId="5A865BA0" wp14:editId="6F75F82B">
                <wp:simplePos x="0" y="0"/>
                <wp:positionH relativeFrom="column">
                  <wp:posOffset>1765358</wp:posOffset>
                </wp:positionH>
                <wp:positionV relativeFrom="paragraph">
                  <wp:posOffset>186055</wp:posOffset>
                </wp:positionV>
                <wp:extent cx="2121535" cy="967740"/>
                <wp:effectExtent l="0" t="0" r="0" b="3810"/>
                <wp:wrapNone/>
                <wp:docPr id="315"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9677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5F48DB" w:rsidRDefault="00721450" w:rsidP="006A31AE">
                            <w:pPr>
                              <w:spacing w:after="0"/>
                              <w:rPr>
                                <w:rFonts w:eastAsia="Times New Roman"/>
                                <w:bCs/>
                                <w:lang w:eastAsia="en-GB"/>
                              </w:rPr>
                            </w:pPr>
                            <w:r w:rsidRPr="005F48DB">
                              <w:rPr>
                                <w:rFonts w:eastAsia="Times New Roman"/>
                                <w:bCs/>
                                <w:lang w:eastAsia="en-GB"/>
                              </w:rPr>
                              <w:t>Croydon remains one of the most affordable areas to live in London both to buy and to rent.</w:t>
                            </w:r>
                          </w:p>
                          <w:p w:rsidR="00721450" w:rsidRPr="005F48DB" w:rsidRDefault="00721450" w:rsidP="006A31A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A865BA0" id="Text Box 91" o:spid="_x0000_s1055" type="#_x0000_t202" style="position:absolute;margin-left:139pt;margin-top:14.65pt;width:167.05pt;height:76.2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" stroked="f">
                <v:textbox>
                  <w:txbxContent>
                    <w:p w:rsidR="00721450" w:rsidRPr="005F48DB" w:rsidRDefault="00721450" w:rsidP="006A31AE">
                      <w:pPr>
                        <w:spacing w:after="0"/>
                        <w:rPr>
                          <w:rFonts w:eastAsia="Times New Roman"/>
                          <w:bCs/>
                          <w:lang w:eastAsia="en-GB"/>
                        </w:rPr>
                      </w:pPr>
                      <w:r w:rsidRPr="005F48DB">
                        <w:rPr>
                          <w:rFonts w:eastAsia="Times New Roman"/>
                          <w:bCs/>
                          <w:lang w:eastAsia="en-GB"/>
                        </w:rPr>
                        <w:t>Croydon remains one of the most affordable areas to live in London both to buy and to rent.</w:t>
                      </w:r>
                    </w:p>
                    <w:p w:rsidR="00721450" w:rsidRPr="005F48DB" w:rsidRDefault="00721450" w:rsidP="006A31AE"/>
                  </w:txbxContent>
                </v:textbox>
              </v:shape>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1BBE6ACE" wp14:editId="73142AF0">
            <wp:extent cx="1264920" cy="850714"/>
            <wp:effectExtent l="0" t="0" r="0" b="6985"/>
            <wp:docPr id="13333" name="Picture 7" descr="TN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NOs.png"/>
                    <pic:cNvPicPr/>
                  </pic:nvPicPr>
                  <pic:blipFill>
                    <a:blip r:embed="rId50" cstate="print"/>
                    <a:stretch>
                      <a:fillRect/>
                    </a:stretch>
                  </pic:blipFill>
                  <pic:spPr>
                    <a:xfrm>
                      <a:off x="0" y="0"/>
                      <a:ext cx="1275468" cy="857808"/>
                    </a:xfrm>
                    <a:prstGeom prst="rect">
                      <a:avLst/>
                    </a:prstGeom>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277CF4"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08416" behindDoc="0" locked="0" layoutInCell="1" allowOverlap="1" wp14:anchorId="67C02BAD" wp14:editId="52587AAA">
                <wp:simplePos x="0" y="0"/>
                <wp:positionH relativeFrom="column">
                  <wp:posOffset>1762851</wp:posOffset>
                </wp:positionH>
                <wp:positionV relativeFrom="paragraph">
                  <wp:posOffset>114391</wp:posOffset>
                </wp:positionV>
                <wp:extent cx="2056221" cy="838200"/>
                <wp:effectExtent l="0" t="0" r="1270" b="0"/>
                <wp:wrapNone/>
                <wp:docPr id="316"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6221" cy="838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EE63C7" w:rsidRDefault="00721450" w:rsidP="006A31AE">
                            <w:pPr>
                              <w:spacing w:after="0"/>
                              <w:rPr>
                                <w:rFonts w:eastAsia="Times New Roman"/>
                                <w:bCs/>
                                <w:lang w:eastAsia="en-GB"/>
                              </w:rPr>
                            </w:pPr>
                            <w:r w:rsidRPr="00EE63C7">
                              <w:rPr>
                                <w:rFonts w:eastAsia="Times New Roman"/>
                                <w:bCs/>
                                <w:lang w:eastAsia="en-GB"/>
                              </w:rPr>
                              <w:t xml:space="preserve">Croydon had the second highest number of net additional dwellings in 2016/2017.  </w:t>
                            </w:r>
                          </w:p>
                          <w:p w:rsidR="00721450" w:rsidRPr="009526A1" w:rsidRDefault="00721450" w:rsidP="006A31A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C02BAD" id="Text Box 90" o:spid="_x0000_s1056" type="#_x0000_t202" style="position:absolute;margin-left:138.8pt;margin-top:9pt;width:161.9pt;height:6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" stroked="f">
                <v:textbox>
                  <w:txbxContent>
                    <w:p w:rsidR="00721450" w:rsidRPr="00EE63C7" w:rsidRDefault="00721450" w:rsidP="006A31AE">
                      <w:pPr>
                        <w:spacing w:after="0"/>
                        <w:rPr>
                          <w:rFonts w:eastAsia="Times New Roman"/>
                          <w:bCs/>
                          <w:lang w:eastAsia="en-GB"/>
                        </w:rPr>
                      </w:pPr>
                      <w:r w:rsidRPr="00EE63C7">
                        <w:rPr>
                          <w:rFonts w:eastAsia="Times New Roman"/>
                          <w:bCs/>
                          <w:lang w:eastAsia="en-GB"/>
                        </w:rPr>
                        <w:t xml:space="preserve">Croydon had the second highest number of net additional dwellings in 2016/2017.  </w:t>
                      </w:r>
                    </w:p>
                    <w:p w:rsidR="00721450" w:rsidRPr="009526A1" w:rsidRDefault="00721450" w:rsidP="006A31AE"/>
                  </w:txbxContent>
                </v:textbox>
              </v:shape>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2766BE66" wp14:editId="2BA32573">
            <wp:extent cx="1426845" cy="448602"/>
            <wp:effectExtent l="0" t="0" r="1905" b="8890"/>
            <wp:docPr id="13334" name="Picture 6" descr="MOP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PAC.png"/>
                    <pic:cNvPicPr/>
                  </pic:nvPicPr>
                  <pic:blipFill>
                    <a:blip r:embed="rId51" cstate="print"/>
                    <a:stretch>
                      <a:fillRect/>
                    </a:stretch>
                  </pic:blipFill>
                  <pic:spPr>
                    <a:xfrm>
                      <a:off x="0" y="0"/>
                      <a:ext cx="1465588" cy="460783"/>
                    </a:xfrm>
                    <a:prstGeom prst="rect">
                      <a:avLst/>
                    </a:prstGeom>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32"/>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32"/>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32"/>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2CE070D0" wp14:editId="3954B2B4">
            <wp:extent cx="226344" cy="200025"/>
            <wp:effectExtent l="19050" t="0" r="2256" b="0"/>
            <wp:docPr id="13335" name="Picture 1" descr="Warni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 2.png"/>
                    <pic:cNvPicPr/>
                  </pic:nvPicPr>
                  <pic:blipFill>
                    <a:blip r:embed="rId36" cstate="print"/>
                    <a:stretch>
                      <a:fillRect/>
                    </a:stretch>
                  </pic:blipFill>
                  <pic:spPr>
                    <a:xfrm>
                      <a:off x="0" y="0"/>
                      <a:ext cx="226645" cy="200291"/>
                    </a:xfrm>
                    <a:prstGeom prst="rect">
                      <a:avLst/>
                    </a:prstGeom>
                  </pic:spPr>
                </pic:pic>
              </a:graphicData>
            </a:graphic>
          </wp:inline>
        </w:drawing>
      </w:r>
      <w:r w:rsidRPr="006A31AE">
        <w:rPr>
          <w:rFonts w:ascii="Arial" w:eastAsia="Times New Roman" w:hAnsi="Arial" w:cs="Arial"/>
          <w:b/>
          <w:bCs/>
          <w:color w:val="701471"/>
          <w:sz w:val="28"/>
          <w:szCs w:val="24"/>
          <w:lang w:eastAsia="en-GB"/>
        </w:rPr>
        <w:t xml:space="preserve"> Challenges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11488" behindDoc="0" locked="0" layoutInCell="1" allowOverlap="1" wp14:anchorId="015886C0" wp14:editId="3C3621AE">
                <wp:simplePos x="0" y="0"/>
                <wp:positionH relativeFrom="column">
                  <wp:posOffset>1440815</wp:posOffset>
                </wp:positionH>
                <wp:positionV relativeFrom="paragraph">
                  <wp:posOffset>32385</wp:posOffset>
                </wp:positionV>
                <wp:extent cx="2580640" cy="781050"/>
                <wp:effectExtent l="0" t="0" r="0" b="0"/>
                <wp:wrapNone/>
                <wp:docPr id="317"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0640" cy="781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B874BD" w:rsidRDefault="00721450" w:rsidP="006A31AE">
                            <w:r w:rsidRPr="00B874BD">
                              <w:t>The number of homeless acceptances, though lower than the previous 2 years, remains high.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5886C0" id="Text Box 93" o:spid="_x0000_s1057" type="#_x0000_t202" style="position:absolute;margin-left:113.45pt;margin-top:2.55pt;width:203.2pt;height:6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u3EhwIAABo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" stroked="f">
                <v:textbox>
                  <w:txbxContent>
                    <w:p w:rsidR="00721450" w:rsidRPr="00B874BD" w:rsidRDefault="00721450" w:rsidP="006A31AE">
                      <w:r w:rsidRPr="00B874BD">
                        <w:t>The number of homeless acceptances, though lower than the previous 2 years, remains high.</w:t>
                      </w:r>
                    </w:p>
                  </w:txbxContent>
                </v:textbox>
              </v:shape>
            </w:pict>
          </mc:Fallback>
        </mc:AlternateContent>
      </w:r>
      <w:r w:rsidRPr="006A31AE">
        <w:rPr>
          <w:rFonts w:ascii="Arial" w:eastAsia="Times New Roman" w:hAnsi="Arial" w:cs="Arial"/>
          <w:b/>
          <w:bCs/>
          <w:noProof/>
          <w:color w:val="701471"/>
          <w:sz w:val="28"/>
          <w:szCs w:val="24"/>
          <w:lang w:eastAsia="en-GB"/>
        </w:rPr>
        <w:drawing>
          <wp:inline distT="0" distB="0" distL="0" distR="0" wp14:anchorId="03B6F751" wp14:editId="1D3A9AF8">
            <wp:extent cx="915586" cy="781050"/>
            <wp:effectExtent l="19050" t="0" r="0" b="0"/>
            <wp:docPr id="13336" name="Picture 5" descr="Injured m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jured man.png"/>
                    <pic:cNvPicPr/>
                  </pic:nvPicPr>
                  <pic:blipFill>
                    <a:blip r:embed="rId52" cstate="print"/>
                    <a:stretch>
                      <a:fillRect/>
                    </a:stretch>
                  </pic:blipFill>
                  <pic:spPr>
                    <a:xfrm>
                      <a:off x="0" y="0"/>
                      <a:ext cx="907447" cy="774107"/>
                    </a:xfrm>
                    <a:prstGeom prst="rect">
                      <a:avLst/>
                    </a:prstGeom>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10464" behindDoc="0" locked="0" layoutInCell="1" allowOverlap="1" wp14:anchorId="6C57ECF0" wp14:editId="0429B305">
                <wp:simplePos x="0" y="0"/>
                <wp:positionH relativeFrom="column">
                  <wp:posOffset>1440815</wp:posOffset>
                </wp:positionH>
                <wp:positionV relativeFrom="paragraph">
                  <wp:posOffset>172085</wp:posOffset>
                </wp:positionV>
                <wp:extent cx="2731135" cy="772160"/>
                <wp:effectExtent l="0" t="0" r="0" b="8890"/>
                <wp:wrapNone/>
                <wp:docPr id="318"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135" cy="7721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B874BD" w:rsidRDefault="00721450" w:rsidP="006A31AE">
                            <w:r w:rsidRPr="00B874BD">
                              <w:t>The number of homeless households in temporary accommodation remains high and in excess of 2,000.</w:t>
                            </w:r>
                          </w:p>
                          <w:p w:rsidR="00721450" w:rsidRPr="00490C55" w:rsidRDefault="00721450" w:rsidP="006A31A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57ECF0" id="Text Box 92" o:spid="_x0000_s1058" type="#_x0000_t202" style="position:absolute;margin-left:113.45pt;margin-top:13.55pt;width:215.05pt;height:60.8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" stroked="f">
                <v:textbox>
                  <w:txbxContent>
                    <w:p w:rsidR="00721450" w:rsidRPr="00B874BD" w:rsidRDefault="00721450" w:rsidP="006A31AE">
                      <w:r w:rsidRPr="00B874BD">
                        <w:t>The number of homeless households in temporary accommodation remains high and in excess of 2,000.</w:t>
                      </w:r>
                    </w:p>
                    <w:p w:rsidR="00721450" w:rsidRPr="00490C55" w:rsidRDefault="00721450" w:rsidP="006A31AE"/>
                  </w:txbxContent>
                </v:textbox>
              </v:shape>
            </w:pict>
          </mc:Fallback>
        </mc:AlternateContent>
      </w:r>
    </w:p>
    <w:p w:rsidR="006A31AE" w:rsidRPr="006A31AE" w:rsidRDefault="006A31AE" w:rsidP="006A31AE">
      <w:pPr>
        <w:spacing w:after="0" w:line="240" w:lineRule="auto"/>
        <w:outlineLvl w:val="0"/>
        <w:rPr>
          <w:rFonts w:ascii="Arial" w:eastAsia="Times New Roman" w:hAnsi="Arial" w:cs="Arial"/>
          <w:b/>
          <w:bCs/>
          <w:noProof/>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569F1F52" wp14:editId="31816AE6">
            <wp:extent cx="683508" cy="741680"/>
            <wp:effectExtent l="0" t="0" r="2540" b="1270"/>
            <wp:docPr id="13342" name="Picture 12" descr="Arr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row.png"/>
                    <pic:cNvPicPr/>
                  </pic:nvPicPr>
                  <pic:blipFill>
                    <a:blip r:embed="rId41" cstate="print"/>
                    <a:stretch>
                      <a:fillRect/>
                    </a:stretch>
                  </pic:blipFill>
                  <pic:spPr>
                    <a:xfrm>
                      <a:off x="0" y="0"/>
                      <a:ext cx="688346" cy="746929"/>
                    </a:xfrm>
                    <a:prstGeom prst="rect">
                      <a:avLst/>
                    </a:prstGeom>
                  </pic:spPr>
                </pic:pic>
              </a:graphicData>
            </a:graphic>
          </wp:inline>
        </w:drawing>
      </w:r>
    </w:p>
    <w:p w:rsidR="006A31AE" w:rsidRPr="006A31AE" w:rsidRDefault="006A31AE" w:rsidP="006A31AE">
      <w:pPr>
        <w:spacing w:after="0" w:line="240" w:lineRule="auto"/>
        <w:outlineLvl w:val="0"/>
        <w:rPr>
          <w:rFonts w:ascii="Arial" w:eastAsia="Times New Roman" w:hAnsi="Arial" w:cs="Arial"/>
          <w:b/>
          <w:bCs/>
          <w:noProof/>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noProof/>
          <w:color w:val="701471"/>
          <w:sz w:val="28"/>
          <w:szCs w:val="24"/>
          <w:lang w:eastAsia="en-GB"/>
        </w:rPr>
      </w:pPr>
      <w:r w:rsidRPr="006A31AE">
        <w:rPr>
          <w:rFonts w:ascii="Arial" w:eastAsia="Times New Roman" w:hAnsi="Arial" w:cs="Arial"/>
          <w:b/>
          <w:bCs/>
          <w:noProof/>
          <w:color w:val="701471"/>
          <w:sz w:val="28"/>
          <w:szCs w:val="24"/>
          <w:lang w:eastAsia="en-GB"/>
        </w:rPr>
        <w:drawing>
          <wp:anchor distT="0" distB="0" distL="114300" distR="114300" simplePos="0" relativeHeight="251748352" behindDoc="0" locked="0" layoutInCell="1" allowOverlap="1" wp14:anchorId="4CEED8CA" wp14:editId="01FF920E">
            <wp:simplePos x="0" y="0"/>
            <wp:positionH relativeFrom="column">
              <wp:posOffset>122180</wp:posOffset>
            </wp:positionH>
            <wp:positionV relativeFrom="paragraph">
              <wp:posOffset>117071</wp:posOffset>
            </wp:positionV>
            <wp:extent cx="813600" cy="943200"/>
            <wp:effectExtent l="0" t="0" r="5715" b="9525"/>
            <wp:wrapSquare wrapText="bothSides"/>
            <wp:docPr id="4096" name="Pictur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13600" cy="943200"/>
                    </a:xfrm>
                    <a:prstGeom prst="rect">
                      <a:avLst/>
                    </a:prstGeom>
                    <a:noFill/>
                  </pic:spPr>
                </pic:pic>
              </a:graphicData>
            </a:graphic>
            <wp14:sizeRelH relativeFrom="margin">
              <wp14:pctWidth>0</wp14:pctWidth>
            </wp14:sizeRelH>
            <wp14:sizeRelV relativeFrom="margin">
              <wp14:pctHeight>0</wp14:pctHeight>
            </wp14:sizeRelV>
          </wp:anchor>
        </w:drawing>
      </w:r>
    </w:p>
    <w:p w:rsidR="006A31AE" w:rsidRDefault="00EE63C7"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13536" behindDoc="0" locked="0" layoutInCell="1" allowOverlap="1" wp14:anchorId="4EC575CC" wp14:editId="0844E8AE">
                <wp:simplePos x="0" y="0"/>
                <wp:positionH relativeFrom="column">
                  <wp:posOffset>1460500</wp:posOffset>
                </wp:positionH>
                <wp:positionV relativeFrom="paragraph">
                  <wp:posOffset>100330</wp:posOffset>
                </wp:positionV>
                <wp:extent cx="2766060" cy="754380"/>
                <wp:effectExtent l="0" t="0" r="0" b="7620"/>
                <wp:wrapNone/>
                <wp:docPr id="31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6060" cy="7543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EE63C7" w:rsidRDefault="00721450" w:rsidP="006A31AE">
                            <w:r w:rsidRPr="00EE63C7">
                              <w:t>5</w:t>
                            </w:r>
                            <w:r w:rsidRPr="00EE63C7">
                              <w:rPr>
                                <w:vertAlign w:val="superscript"/>
                              </w:rPr>
                              <w:t>th</w:t>
                            </w:r>
                            <w:r w:rsidRPr="00EE63C7">
                              <w:t xml:space="preserve"> highest proportion of long-term vacant dwellings to total dwellings in London.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C575CC" id="_x0000_s1059" type="#_x0000_t202" style="position:absolute;margin-left:115pt;margin-top:7.9pt;width:217.8pt;height:59.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" stroked="f">
                <v:textbox>
                  <w:txbxContent>
                    <w:p w:rsidR="00721450" w:rsidRPr="00EE63C7" w:rsidRDefault="00721450" w:rsidP="006A31AE">
                      <w:r w:rsidRPr="00EE63C7">
                        <w:t>5</w:t>
                      </w:r>
                      <w:r w:rsidRPr="00EE63C7">
                        <w:rPr>
                          <w:vertAlign w:val="superscript"/>
                        </w:rPr>
                        <w:t>th</w:t>
                      </w:r>
                      <w:r w:rsidRPr="00EE63C7">
                        <w:t xml:space="preserve"> highest proportion of long-term vacant dwellings to total dwellings in London.</w:t>
                      </w:r>
                    </w:p>
                  </w:txbxContent>
                </v:textbox>
              </v:shape>
            </w:pict>
          </mc:Fallback>
        </mc:AlternateContent>
      </w:r>
    </w:p>
    <w:p w:rsidR="00002606" w:rsidRDefault="00002606" w:rsidP="006A31AE">
      <w:pPr>
        <w:spacing w:after="0" w:line="240" w:lineRule="auto"/>
        <w:outlineLvl w:val="0"/>
        <w:rPr>
          <w:rFonts w:ascii="Arial" w:eastAsia="Times New Roman" w:hAnsi="Arial" w:cs="Arial"/>
          <w:b/>
          <w:bCs/>
          <w:color w:val="701471"/>
          <w:sz w:val="28"/>
          <w:szCs w:val="24"/>
          <w:lang w:eastAsia="en-GB"/>
        </w:rPr>
      </w:pPr>
    </w:p>
    <w:p w:rsidR="00002606" w:rsidRDefault="00002606" w:rsidP="006A31AE">
      <w:pPr>
        <w:spacing w:after="0" w:line="240" w:lineRule="auto"/>
        <w:outlineLvl w:val="0"/>
        <w:rPr>
          <w:rFonts w:ascii="Arial" w:eastAsia="Times New Roman" w:hAnsi="Arial" w:cs="Arial"/>
          <w:b/>
          <w:bCs/>
          <w:color w:val="701471"/>
          <w:sz w:val="28"/>
          <w:szCs w:val="24"/>
          <w:lang w:eastAsia="en-GB"/>
        </w:rPr>
      </w:pPr>
    </w:p>
    <w:p w:rsidR="00002606" w:rsidRDefault="00002606" w:rsidP="006A31AE">
      <w:pPr>
        <w:spacing w:after="0" w:line="240" w:lineRule="auto"/>
        <w:outlineLvl w:val="0"/>
        <w:rPr>
          <w:rFonts w:ascii="Arial" w:eastAsia="Times New Roman" w:hAnsi="Arial" w:cs="Arial"/>
          <w:b/>
          <w:bCs/>
          <w:color w:val="701471"/>
          <w:sz w:val="28"/>
          <w:szCs w:val="24"/>
          <w:lang w:eastAsia="en-GB"/>
        </w:rPr>
      </w:pPr>
    </w:p>
    <w:p w:rsidR="00002606" w:rsidRDefault="00002606" w:rsidP="006A31AE">
      <w:pPr>
        <w:spacing w:after="0" w:line="240" w:lineRule="auto"/>
        <w:outlineLvl w:val="0"/>
        <w:rPr>
          <w:rFonts w:ascii="Arial" w:eastAsia="Times New Roman" w:hAnsi="Arial" w:cs="Arial"/>
          <w:b/>
          <w:bCs/>
          <w:color w:val="701471"/>
          <w:sz w:val="28"/>
          <w:szCs w:val="24"/>
          <w:lang w:eastAsia="en-GB"/>
        </w:rPr>
      </w:pPr>
    </w:p>
    <w:p w:rsidR="00002606" w:rsidRDefault="00002606" w:rsidP="006A31AE">
      <w:pPr>
        <w:spacing w:after="0" w:line="240" w:lineRule="auto"/>
        <w:outlineLvl w:val="0"/>
        <w:rPr>
          <w:rFonts w:ascii="Arial" w:eastAsia="Times New Roman" w:hAnsi="Arial" w:cs="Arial"/>
          <w:b/>
          <w:bCs/>
          <w:color w:val="701471"/>
          <w:sz w:val="28"/>
          <w:szCs w:val="24"/>
          <w:lang w:eastAsia="en-GB"/>
        </w:rPr>
      </w:pPr>
    </w:p>
    <w:p w:rsidR="00002606" w:rsidRPr="006A31AE" w:rsidRDefault="00002606" w:rsidP="006A31AE">
      <w:pPr>
        <w:spacing w:after="0" w:line="240" w:lineRule="auto"/>
        <w:outlineLvl w:val="0"/>
        <w:rPr>
          <w:rFonts w:ascii="Arial" w:eastAsia="Times New Roman" w:hAnsi="Arial" w:cs="Arial"/>
          <w:b/>
          <w:bCs/>
          <w:color w:val="701471"/>
          <w:sz w:val="28"/>
          <w:szCs w:val="24"/>
          <w:lang w:eastAsia="en-GB"/>
        </w:rPr>
        <w:sectPr w:rsidR="00002606" w:rsidRPr="006A31AE" w:rsidSect="006A31AE">
          <w:pgSz w:w="16838" w:h="11906" w:orient="landscape"/>
          <w:pgMar w:top="1440" w:right="1440" w:bottom="1440" w:left="1440" w:header="708" w:footer="708" w:gutter="0"/>
          <w:cols w:num="2" w:space="1024"/>
          <w:docGrid w:linePitch="360"/>
        </w:sectPr>
      </w:pPr>
    </w:p>
    <w:p w:rsidR="006A31AE" w:rsidRPr="006A31AE" w:rsidRDefault="006A31AE" w:rsidP="006A31AE">
      <w:pPr>
        <w:spacing w:after="0" w:line="240" w:lineRule="auto"/>
        <w:rPr>
          <w:rFonts w:ascii="Arial" w:eastAsia="Times New Roman" w:hAnsi="Arial" w:cs="Arial"/>
          <w:b/>
          <w:bCs/>
          <w:color w:val="701471"/>
          <w:sz w:val="32"/>
          <w:szCs w:val="28"/>
          <w:lang w:eastAsia="en-GB"/>
        </w:rPr>
      </w:pPr>
      <w:r w:rsidRPr="006A31AE">
        <w:rPr>
          <w:rFonts w:ascii="Arial" w:eastAsia="Times New Roman" w:hAnsi="Arial" w:cs="Arial"/>
          <w:b/>
          <w:bCs/>
          <w:noProof/>
          <w:color w:val="701471"/>
          <w:sz w:val="32"/>
          <w:szCs w:val="28"/>
          <w:lang w:eastAsia="en-GB"/>
        </w:rPr>
        <w:lastRenderedPageBreak/>
        <w:drawing>
          <wp:inline distT="0" distB="0" distL="0" distR="0" wp14:anchorId="4492E04D" wp14:editId="51B3D32C">
            <wp:extent cx="693420" cy="608330"/>
            <wp:effectExtent l="0" t="0" r="0" b="1270"/>
            <wp:docPr id="127"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4" cstate="print"/>
                    <a:stretch>
                      <a:fillRect/>
                    </a:stretch>
                  </pic:blipFill>
                  <pic:spPr bwMode="auto">
                    <a:xfrm>
                      <a:off x="0" y="0"/>
                      <a:ext cx="693829" cy="608689"/>
                    </a:xfrm>
                    <a:prstGeom prst="rect">
                      <a:avLst/>
                    </a:prstGeom>
                    <a:noFill/>
                    <a:ln w="9525">
                      <a:noFill/>
                      <a:miter lim="800000"/>
                      <a:headEnd/>
                      <a:tailEnd/>
                    </a:ln>
                    <a:effectLst/>
                  </pic:spPr>
                </pic:pic>
              </a:graphicData>
            </a:graphic>
          </wp:inline>
        </w:drawing>
      </w:r>
      <w:r w:rsidRPr="006A31AE">
        <w:rPr>
          <w:rFonts w:ascii="Arial" w:eastAsia="Times New Roman" w:hAnsi="Arial" w:cs="Arial"/>
          <w:b/>
          <w:bCs/>
          <w:color w:val="701471"/>
          <w:sz w:val="32"/>
          <w:szCs w:val="28"/>
          <w:lang w:eastAsia="en-GB"/>
        </w:rPr>
        <w:t xml:space="preserve"> </w:t>
      </w:r>
      <w:r w:rsidRPr="006A31AE">
        <w:rPr>
          <w:rFonts w:ascii="Arial" w:eastAsia="Times New Roman" w:hAnsi="Arial" w:cs="Arial"/>
          <w:b/>
          <w:bCs/>
          <w:color w:val="701471"/>
          <w:sz w:val="40"/>
          <w:szCs w:val="28"/>
          <w:lang w:eastAsia="en-GB"/>
        </w:rPr>
        <w:t>Health</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299" distR="114299" simplePos="0" relativeHeight="251721728" behindDoc="0" locked="0" layoutInCell="1" allowOverlap="1" wp14:anchorId="7AB930B9" wp14:editId="2D8F1F12">
                <wp:simplePos x="0" y="0"/>
                <wp:positionH relativeFrom="column">
                  <wp:posOffset>4352924</wp:posOffset>
                </wp:positionH>
                <wp:positionV relativeFrom="paragraph">
                  <wp:posOffset>79375</wp:posOffset>
                </wp:positionV>
                <wp:extent cx="0" cy="5048250"/>
                <wp:effectExtent l="0" t="0" r="19050" b="19050"/>
                <wp:wrapNone/>
                <wp:docPr id="56"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48250"/>
                        </a:xfrm>
                        <a:prstGeom prst="straightConnector1">
                          <a:avLst/>
                        </a:prstGeom>
                        <a:noFill/>
                        <a:ln w="9525">
                          <a:solidFill>
                            <a:sysClr val="window" lastClr="FFFFFF">
                              <a:lumMod val="50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0C0621" id="AutoShape 23" o:spid="_x0000_s1026" type="#_x0000_t32" style="position:absolute;margin-left:342.75pt;margin-top:6.25pt;width:0;height:397.5pt;z-index:25172172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" strokecolor="#7f7f7f"/>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sym w:font="Wingdings" w:char="F0FC"/>
      </w:r>
      <w:r w:rsidRPr="006A31AE">
        <w:rPr>
          <w:rFonts w:ascii="Arial" w:eastAsia="Times New Roman" w:hAnsi="Arial" w:cs="Arial"/>
          <w:b/>
          <w:bCs/>
          <w:color w:val="701471"/>
          <w:sz w:val="28"/>
          <w:szCs w:val="24"/>
          <w:lang w:eastAsia="en-GB"/>
        </w:rPr>
        <w:t xml:space="preserve"> Areas of progress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16608" behindDoc="0" locked="0" layoutInCell="1" allowOverlap="1" wp14:anchorId="66A7C4BC" wp14:editId="4D336046">
                <wp:simplePos x="0" y="0"/>
                <wp:positionH relativeFrom="column">
                  <wp:posOffset>1665028</wp:posOffset>
                </wp:positionH>
                <wp:positionV relativeFrom="paragraph">
                  <wp:posOffset>201930</wp:posOffset>
                </wp:positionV>
                <wp:extent cx="2121535" cy="680720"/>
                <wp:effectExtent l="0" t="0" r="0" b="5080"/>
                <wp:wrapNone/>
                <wp:docPr id="55"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680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9A7ED6" w:rsidRDefault="00721450" w:rsidP="006A31AE">
                            <w:pPr>
                              <w:spacing w:after="0" w:line="240" w:lineRule="auto"/>
                              <w:rPr>
                                <w:rFonts w:eastAsia="Times New Roman"/>
                                <w:bCs/>
                                <w:lang w:eastAsia="en-GB"/>
                              </w:rPr>
                            </w:pPr>
                            <w:r w:rsidRPr="009A7ED6">
                              <w:rPr>
                                <w:rFonts w:eastAsia="Times New Roman"/>
                                <w:bCs/>
                                <w:lang w:eastAsia="en-GB"/>
                              </w:rPr>
                              <w:t>Breastfeeding prevalence at 6-8 weeks remains higher than the national average.</w:t>
                            </w:r>
                          </w:p>
                          <w:p w:rsidR="00721450" w:rsidRPr="009E20F0" w:rsidRDefault="00721450" w:rsidP="006A31A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A7C4BC" id="Text Box 17" o:spid="_x0000_s1060" type="#_x0000_t202" style="position:absolute;margin-left:131.1pt;margin-top:15.9pt;width:167.05pt;height:53.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" stroked="f">
                <v:textbox>
                  <w:txbxContent>
                    <w:p w:rsidR="00721450" w:rsidRPr="009A7ED6" w:rsidRDefault="00721450" w:rsidP="006A31AE">
                      <w:pPr>
                        <w:spacing w:after="0" w:line="240" w:lineRule="auto"/>
                        <w:rPr>
                          <w:rFonts w:eastAsia="Times New Roman"/>
                          <w:bCs/>
                          <w:lang w:eastAsia="en-GB"/>
                        </w:rPr>
                      </w:pPr>
                      <w:r w:rsidRPr="009A7ED6">
                        <w:rPr>
                          <w:rFonts w:eastAsia="Times New Roman"/>
                          <w:bCs/>
                          <w:lang w:eastAsia="en-GB"/>
                        </w:rPr>
                        <w:t>Breastfeeding prevalence at 6-8 weeks remains higher than the national average.</w:t>
                      </w:r>
                    </w:p>
                    <w:p w:rsidR="00721450" w:rsidRPr="009E20F0" w:rsidRDefault="00721450" w:rsidP="006A31AE"/>
                  </w:txbxContent>
                </v:textbox>
              </v:shape>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4701408F" wp14:editId="161693B4">
            <wp:extent cx="429491" cy="787400"/>
            <wp:effectExtent l="0" t="0" r="8890" b="0"/>
            <wp:docPr id="128" name="Picture 7" descr="TN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NOs.png"/>
                    <pic:cNvPicPr/>
                  </pic:nvPicPr>
                  <pic:blipFill>
                    <a:blip r:embed="rId55" cstate="print"/>
                    <a:stretch>
                      <a:fillRect/>
                    </a:stretch>
                  </pic:blipFill>
                  <pic:spPr>
                    <a:xfrm>
                      <a:off x="0" y="0"/>
                      <a:ext cx="432534" cy="792978"/>
                    </a:xfrm>
                    <a:prstGeom prst="rect">
                      <a:avLst/>
                    </a:prstGeom>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15584" behindDoc="0" locked="0" layoutInCell="1" allowOverlap="1" wp14:anchorId="7B2D2D7D" wp14:editId="0F371118">
                <wp:simplePos x="0" y="0"/>
                <wp:positionH relativeFrom="column">
                  <wp:posOffset>1697124</wp:posOffset>
                </wp:positionH>
                <wp:positionV relativeFrom="paragraph">
                  <wp:posOffset>37523</wp:posOffset>
                </wp:positionV>
                <wp:extent cx="2121535" cy="796637"/>
                <wp:effectExtent l="0" t="0" r="0" b="3810"/>
                <wp:wrapNone/>
                <wp:docPr id="5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7966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9A7ED6" w:rsidRDefault="00721450" w:rsidP="006A31AE">
                            <w:pPr>
                              <w:spacing w:after="0" w:line="240" w:lineRule="auto"/>
                              <w:rPr>
                                <w:rFonts w:eastAsia="Times New Roman"/>
                                <w:bCs/>
                                <w:lang w:eastAsia="en-GB"/>
                              </w:rPr>
                            </w:pPr>
                            <w:r w:rsidRPr="009A7ED6">
                              <w:rPr>
                                <w:rFonts w:eastAsia="Times New Roman"/>
                                <w:bCs/>
                                <w:lang w:eastAsia="en-GB"/>
                              </w:rPr>
                              <w:t>The percentage of adults smoking in Croydon continues to fall and is below the national average.</w:t>
                            </w:r>
                          </w:p>
                          <w:p w:rsidR="00721450" w:rsidRPr="009A7ED6" w:rsidRDefault="00721450" w:rsidP="006A31A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2D2D7D" id="Text Box 16" o:spid="_x0000_s1061" type="#_x0000_t202" style="position:absolute;margin-left:133.65pt;margin-top:2.95pt;width:167.05pt;height:62.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" stroked="f">
                <v:textbox>
                  <w:txbxContent>
                    <w:p w:rsidR="00721450" w:rsidRPr="009A7ED6" w:rsidRDefault="00721450" w:rsidP="006A31AE">
                      <w:pPr>
                        <w:spacing w:after="0" w:line="240" w:lineRule="auto"/>
                        <w:rPr>
                          <w:rFonts w:eastAsia="Times New Roman"/>
                          <w:bCs/>
                          <w:lang w:eastAsia="en-GB"/>
                        </w:rPr>
                      </w:pPr>
                      <w:r w:rsidRPr="009A7ED6">
                        <w:rPr>
                          <w:rFonts w:eastAsia="Times New Roman"/>
                          <w:bCs/>
                          <w:lang w:eastAsia="en-GB"/>
                        </w:rPr>
                        <w:t>The percentage of adults smoking in Croydon continues to fall and is below the national average.</w:t>
                      </w:r>
                    </w:p>
                    <w:p w:rsidR="00721450" w:rsidRPr="009A7ED6" w:rsidRDefault="00721450" w:rsidP="006A31AE"/>
                  </w:txbxContent>
                </v:textbox>
              </v:shape>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4E9782C9" wp14:editId="25813449">
            <wp:extent cx="1260764" cy="396966"/>
            <wp:effectExtent l="0" t="0" r="0" b="3175"/>
            <wp:docPr id="129" name="Picture 6" descr="MOP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PAC.png"/>
                    <pic:cNvPicPr/>
                  </pic:nvPicPr>
                  <pic:blipFill>
                    <a:blip r:embed="rId56" cstate="print"/>
                    <a:stretch>
                      <a:fillRect/>
                    </a:stretch>
                  </pic:blipFill>
                  <pic:spPr>
                    <a:xfrm>
                      <a:off x="0" y="0"/>
                      <a:ext cx="1267709" cy="399153"/>
                    </a:xfrm>
                    <a:prstGeom prst="rect">
                      <a:avLst/>
                    </a:prstGeom>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4"/>
          <w:szCs w:val="24"/>
          <w:lang w:eastAsia="en-GB"/>
        </w:rPr>
      </w:pPr>
    </w:p>
    <w:p w:rsidR="006A31AE" w:rsidRPr="00EC002A" w:rsidRDefault="006A31AE" w:rsidP="006A31AE">
      <w:pPr>
        <w:spacing w:after="0" w:line="240" w:lineRule="auto"/>
        <w:outlineLvl w:val="0"/>
        <w:rPr>
          <w:rFonts w:ascii="Arial" w:eastAsia="Times New Roman" w:hAnsi="Arial" w:cs="Arial"/>
          <w:b/>
          <w:bCs/>
          <w:color w:val="701471"/>
          <w:sz w:val="24"/>
          <w:szCs w:val="24"/>
          <w:lang w:eastAsia="en-GB"/>
        </w:rPr>
      </w:pPr>
      <w:r w:rsidRPr="006A31AE">
        <w:rPr>
          <w:rFonts w:ascii="Arial" w:eastAsia="Times New Roman" w:hAnsi="Arial" w:cs="Arial"/>
          <w:b/>
          <w:bCs/>
          <w:noProof/>
          <w:color w:val="701471"/>
          <w:sz w:val="20"/>
          <w:szCs w:val="20"/>
          <w:lang w:eastAsia="en-GB"/>
        </w:rPr>
        <mc:AlternateContent>
          <mc:Choice Requires="wps">
            <w:drawing>
              <wp:anchor distT="0" distB="0" distL="114300" distR="114300" simplePos="0" relativeHeight="251714560" behindDoc="0" locked="0" layoutInCell="1" allowOverlap="1" wp14:anchorId="68BF9122" wp14:editId="182FC389">
                <wp:simplePos x="0" y="0"/>
                <wp:positionH relativeFrom="column">
                  <wp:posOffset>1697182</wp:posOffset>
                </wp:positionH>
                <wp:positionV relativeFrom="paragraph">
                  <wp:posOffset>14491</wp:posOffset>
                </wp:positionV>
                <wp:extent cx="2050473" cy="676910"/>
                <wp:effectExtent l="0" t="0" r="6985" b="8890"/>
                <wp:wrapNone/>
                <wp:docPr id="5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0473" cy="6769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9E20F0" w:rsidRDefault="00721450" w:rsidP="006A31AE">
                            <w:pPr>
                              <w:spacing w:after="0" w:line="240" w:lineRule="auto"/>
                              <w:rPr>
                                <w:rFonts w:eastAsia="Times New Roman"/>
                                <w:bCs/>
                                <w:lang w:eastAsia="en-GB"/>
                              </w:rPr>
                            </w:pPr>
                            <w:r w:rsidRPr="009E20F0">
                              <w:rPr>
                                <w:rFonts w:eastAsia="Times New Roman"/>
                                <w:bCs/>
                                <w:lang w:eastAsia="en-GB"/>
                              </w:rPr>
                              <w:t>Life expectancy at birth for men and women continues to increase.</w:t>
                            </w:r>
                          </w:p>
                          <w:p w:rsidR="00721450" w:rsidRPr="009E20F0" w:rsidRDefault="00721450" w:rsidP="006A31A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BF9122" id="Text Box 15" o:spid="_x0000_s1062" type="#_x0000_t202" style="position:absolute;margin-left:133.65pt;margin-top:1.15pt;width:161.45pt;height:53.3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" stroked="f">
                <v:textbox>
                  <w:txbxContent>
                    <w:p w:rsidR="00721450" w:rsidRPr="009E20F0" w:rsidRDefault="00721450" w:rsidP="006A31AE">
                      <w:pPr>
                        <w:spacing w:after="0" w:line="240" w:lineRule="auto"/>
                        <w:rPr>
                          <w:rFonts w:eastAsia="Times New Roman"/>
                          <w:bCs/>
                          <w:lang w:eastAsia="en-GB"/>
                        </w:rPr>
                      </w:pPr>
                      <w:r w:rsidRPr="009E20F0">
                        <w:rPr>
                          <w:rFonts w:eastAsia="Times New Roman"/>
                          <w:bCs/>
                          <w:lang w:eastAsia="en-GB"/>
                        </w:rPr>
                        <w:t>Life expectancy at birth for men and women continues to increase.</w:t>
                      </w:r>
                    </w:p>
                    <w:p w:rsidR="00721450" w:rsidRPr="009E20F0" w:rsidRDefault="00721450" w:rsidP="006A31AE"/>
                  </w:txbxContent>
                </v:textbox>
              </v:shape>
            </w:pict>
          </mc:Fallback>
        </mc:AlternateContent>
      </w:r>
      <w:r w:rsidRPr="006A31AE">
        <w:rPr>
          <w:rFonts w:ascii="Arial" w:eastAsia="Times New Roman" w:hAnsi="Arial" w:cs="Arial"/>
          <w:b/>
          <w:bCs/>
          <w:noProof/>
          <w:color w:val="701471"/>
          <w:sz w:val="96"/>
          <w:szCs w:val="96"/>
          <w:lang w:eastAsia="en-GB"/>
        </w:rPr>
        <w:drawing>
          <wp:inline distT="0" distB="0" distL="0" distR="0" wp14:anchorId="7B6D0DBF" wp14:editId="21B55452">
            <wp:extent cx="1032164" cy="677285"/>
            <wp:effectExtent l="0" t="0" r="0" b="8890"/>
            <wp:docPr id="130" name="Picture 93" descr="Char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2.png"/>
                    <pic:cNvPicPr/>
                  </pic:nvPicPr>
                  <pic:blipFill>
                    <a:blip r:embed="rId35" cstate="print"/>
                    <a:stretch>
                      <a:fillRect/>
                    </a:stretch>
                  </pic:blipFill>
                  <pic:spPr>
                    <a:xfrm>
                      <a:off x="0" y="0"/>
                      <a:ext cx="1042926" cy="684347"/>
                    </a:xfrm>
                    <a:prstGeom prst="rect">
                      <a:avLst/>
                    </a:prstGeom>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0"/>
          <w:szCs w:val="20"/>
          <w:lang w:eastAsia="en-GB"/>
        </w:rPr>
      </w:pPr>
    </w:p>
    <w:p w:rsidR="006A31AE" w:rsidRPr="006A31AE" w:rsidRDefault="006A31AE" w:rsidP="006A31AE">
      <w:pPr>
        <w:spacing w:after="0" w:line="240" w:lineRule="auto"/>
        <w:outlineLvl w:val="0"/>
        <w:rPr>
          <w:rFonts w:ascii="Arial" w:eastAsia="Times New Roman" w:hAnsi="Arial" w:cs="Arial"/>
          <w:b/>
          <w:bCs/>
          <w:color w:val="701471"/>
          <w:sz w:val="20"/>
          <w:szCs w:val="20"/>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24800" behindDoc="0" locked="0" layoutInCell="1" allowOverlap="1" wp14:anchorId="4470920C" wp14:editId="2D9FC268">
                <wp:simplePos x="0" y="0"/>
                <wp:positionH relativeFrom="column">
                  <wp:posOffset>1697124</wp:posOffset>
                </wp:positionH>
                <wp:positionV relativeFrom="paragraph">
                  <wp:posOffset>143510</wp:posOffset>
                </wp:positionV>
                <wp:extent cx="2535382" cy="740468"/>
                <wp:effectExtent l="0" t="0" r="0" b="2540"/>
                <wp:wrapNone/>
                <wp:docPr id="103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5382" cy="7404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37758F" w:rsidRDefault="00721450" w:rsidP="006A31AE">
                            <w:r w:rsidRPr="0037758F">
                              <w:t>The percentage of full-term babies with a low birth weight is in line with the national average.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70920C" id="Text Box 18" o:spid="_x0000_s1063" type="#_x0000_t202" style="position:absolute;margin-left:133.65pt;margin-top:11.3pt;width:199.65pt;height:58.3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" stroked="f">
                <v:textbox>
                  <w:txbxContent>
                    <w:p w:rsidR="00721450" w:rsidRPr="0037758F" w:rsidRDefault="00721450" w:rsidP="006A31AE">
                      <w:r w:rsidRPr="0037758F">
                        <w:t>The percentage of full-term babies with a low birth weight is in line with the national average.</w:t>
                      </w:r>
                    </w:p>
                  </w:txbxContent>
                </v:textbox>
              </v:shape>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32"/>
          <w:szCs w:val="24"/>
          <w:lang w:eastAsia="en-GB"/>
        </w:rPr>
      </w:pPr>
      <w:r w:rsidRPr="006A31AE">
        <w:rPr>
          <w:rFonts w:ascii="Arial" w:eastAsia="Times New Roman" w:hAnsi="Arial" w:cs="Arial"/>
          <w:b/>
          <w:bCs/>
          <w:noProof/>
          <w:color w:val="701471"/>
          <w:sz w:val="28"/>
          <w:szCs w:val="24"/>
          <w:lang w:eastAsia="en-GB"/>
        </w:rPr>
        <w:drawing>
          <wp:inline distT="0" distB="0" distL="0" distR="0" wp14:anchorId="64F1E6C5" wp14:editId="2F2F0F59">
            <wp:extent cx="781050" cy="617845"/>
            <wp:effectExtent l="19050" t="0" r="0" b="0"/>
            <wp:docPr id="110" name="Picture 5" descr="Injured m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jured man.png"/>
                    <pic:cNvPicPr/>
                  </pic:nvPicPr>
                  <pic:blipFill>
                    <a:blip r:embed="rId57" cstate="print"/>
                    <a:stretch>
                      <a:fillRect/>
                    </a:stretch>
                  </pic:blipFill>
                  <pic:spPr>
                    <a:xfrm>
                      <a:off x="0" y="0"/>
                      <a:ext cx="783241" cy="619578"/>
                    </a:xfrm>
                    <a:prstGeom prst="rect">
                      <a:avLst/>
                    </a:prstGeom>
                  </pic:spPr>
                </pic:pic>
              </a:graphicData>
            </a:graphic>
          </wp:inline>
        </w:drawing>
      </w:r>
      <w:r w:rsidRPr="006A31AE">
        <w:rPr>
          <w:rFonts w:ascii="Arial" w:eastAsia="Times New Roman" w:hAnsi="Arial" w:cs="Arial"/>
          <w:b/>
          <w:bCs/>
          <w:noProof/>
          <w:color w:val="701471"/>
          <w:sz w:val="28"/>
          <w:szCs w:val="24"/>
          <w:lang w:eastAsia="en-GB"/>
        </w:rPr>
        <w:t xml:space="preserve"> </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3227AA" w:rsidRPr="006A31AE" w:rsidRDefault="003227AA"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3B6CA5DE" wp14:editId="52241C00">
            <wp:extent cx="226344" cy="200025"/>
            <wp:effectExtent l="19050" t="0" r="2256" b="0"/>
            <wp:docPr id="131" name="Picture 1" descr="Warni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 2.png"/>
                    <pic:cNvPicPr/>
                  </pic:nvPicPr>
                  <pic:blipFill>
                    <a:blip r:embed="rId36" cstate="print"/>
                    <a:stretch>
                      <a:fillRect/>
                    </a:stretch>
                  </pic:blipFill>
                  <pic:spPr>
                    <a:xfrm>
                      <a:off x="0" y="0"/>
                      <a:ext cx="226645" cy="200291"/>
                    </a:xfrm>
                    <a:prstGeom prst="rect">
                      <a:avLst/>
                    </a:prstGeom>
                  </pic:spPr>
                </pic:pic>
              </a:graphicData>
            </a:graphic>
          </wp:inline>
        </w:drawing>
      </w:r>
      <w:r w:rsidRPr="006A31AE">
        <w:rPr>
          <w:rFonts w:ascii="Arial" w:eastAsia="Times New Roman" w:hAnsi="Arial" w:cs="Arial"/>
          <w:b/>
          <w:bCs/>
          <w:color w:val="701471"/>
          <w:sz w:val="28"/>
          <w:szCs w:val="24"/>
          <w:lang w:eastAsia="en-GB"/>
        </w:rPr>
        <w:t xml:space="preserve"> Challenges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17632" behindDoc="0" locked="0" layoutInCell="1" allowOverlap="1" wp14:anchorId="4E530A7C" wp14:editId="62C612C2">
                <wp:simplePos x="0" y="0"/>
                <wp:positionH relativeFrom="column">
                  <wp:posOffset>1395730</wp:posOffset>
                </wp:positionH>
                <wp:positionV relativeFrom="paragraph">
                  <wp:posOffset>113030</wp:posOffset>
                </wp:positionV>
                <wp:extent cx="2492829" cy="489857"/>
                <wp:effectExtent l="0" t="0" r="3175" b="5715"/>
                <wp:wrapNone/>
                <wp:docPr id="4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2829" cy="48985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9F2A5B" w:rsidRDefault="00721450" w:rsidP="006A31AE">
                            <w:r w:rsidRPr="009F2A5B">
                              <w:t>Vaccination coverage remains low for a number of child and adult vaccinations.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530A7C" id="Text Box 19" o:spid="_x0000_s1064" type="#_x0000_t202" style="position:absolute;margin-left:109.9pt;margin-top:8.9pt;width:196.3pt;height:38.5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" stroked="f">
                <v:textbox>
                  <w:txbxContent>
                    <w:p w:rsidR="00721450" w:rsidRPr="009F2A5B" w:rsidRDefault="00721450" w:rsidP="006A31AE">
                      <w:r w:rsidRPr="009F2A5B">
                        <w:t>Vaccination coverage remains low for a number of child and adult vaccinations.</w:t>
                      </w:r>
                    </w:p>
                  </w:txbxContent>
                </v:textbox>
              </v:shape>
            </w:pict>
          </mc:Fallback>
        </mc:AlternateContent>
      </w:r>
      <w:r w:rsidRPr="006A31AE">
        <w:rPr>
          <w:rFonts w:ascii="Arial" w:eastAsia="Times New Roman" w:hAnsi="Arial" w:cs="Arial"/>
          <w:b/>
          <w:bCs/>
          <w:noProof/>
          <w:color w:val="701471"/>
          <w:sz w:val="28"/>
          <w:szCs w:val="24"/>
          <w:lang w:eastAsia="en-GB"/>
        </w:rPr>
        <w:drawing>
          <wp:inline distT="0" distB="0" distL="0" distR="0" wp14:anchorId="63CA82E7" wp14:editId="6B0CBD5E">
            <wp:extent cx="872836" cy="801370"/>
            <wp:effectExtent l="0" t="0" r="3810" b="0"/>
            <wp:docPr id="133" name="Picture 9" descr="SY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V.png"/>
                    <pic:cNvPicPr/>
                  </pic:nvPicPr>
                  <pic:blipFill>
                    <a:blip r:embed="rId58" cstate="print"/>
                    <a:stretch>
                      <a:fillRect/>
                    </a:stretch>
                  </pic:blipFill>
                  <pic:spPr>
                    <a:xfrm>
                      <a:off x="0" y="0"/>
                      <a:ext cx="873517" cy="801995"/>
                    </a:xfrm>
                    <a:prstGeom prst="rect">
                      <a:avLst/>
                    </a:prstGeom>
                  </pic:spPr>
                </pic:pic>
              </a:graphicData>
            </a:graphic>
          </wp:inline>
        </w:drawing>
      </w:r>
    </w:p>
    <w:p w:rsidR="003227AA" w:rsidRPr="006A31AE" w:rsidRDefault="00277CF4" w:rsidP="006A31AE">
      <w:pPr>
        <w:spacing w:after="0" w:line="240" w:lineRule="auto"/>
        <w:outlineLvl w:val="0"/>
        <w:rPr>
          <w:rFonts w:ascii="Arial" w:eastAsia="Times New Roman" w:hAnsi="Arial" w:cs="Arial"/>
          <w:b/>
          <w:bCs/>
          <w:color w:val="701471"/>
          <w:sz w:val="28"/>
          <w:szCs w:val="24"/>
          <w:lang w:eastAsia="en-GB"/>
        </w:rPr>
      </w:pPr>
      <w:r w:rsidRPr="009F3260">
        <w:rPr>
          <w:rFonts w:ascii="Arial" w:eastAsia="Times New Roman" w:hAnsi="Arial" w:cs="Arial"/>
          <w:b/>
          <w:bCs/>
          <w:noProof/>
          <w:color w:val="701471"/>
          <w:sz w:val="32"/>
          <w:szCs w:val="24"/>
          <w:lang w:eastAsia="en-GB"/>
        </w:rPr>
        <w:drawing>
          <wp:anchor distT="0" distB="0" distL="114300" distR="114300" simplePos="0" relativeHeight="251753472" behindDoc="0" locked="0" layoutInCell="1" allowOverlap="1">
            <wp:simplePos x="0" y="0"/>
            <wp:positionH relativeFrom="column">
              <wp:posOffset>107769</wp:posOffset>
            </wp:positionH>
            <wp:positionV relativeFrom="paragraph">
              <wp:posOffset>210185</wp:posOffset>
            </wp:positionV>
            <wp:extent cx="558800" cy="835025"/>
            <wp:effectExtent l="0" t="0" r="0" b="3175"/>
            <wp:wrapSquare wrapText="bothSides"/>
            <wp:docPr id="13967" name="Picture 13967" descr="C:\Users\281609\OneDrive - London Borough of Croydon\Documents\Documents - Main\EF Work\1_WORKFILES_SCIO_Corporate\Borough Profile\IMAGES\stork-ba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81609\OneDrive - London Borough of Croydon\Documents\Documents - Main\EF Work\1_WORKFILES_SCIO_Corporate\Borough Profile\IMAGES\stork-baby.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58800" cy="835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7CF4" w:rsidRDefault="00277CF4" w:rsidP="006A31AE">
      <w:pPr>
        <w:spacing w:after="0" w:line="240" w:lineRule="auto"/>
        <w:outlineLvl w:val="0"/>
        <w:rPr>
          <w:rFonts w:ascii="Arial" w:eastAsia="Times New Roman" w:hAnsi="Arial" w:cs="Arial"/>
          <w:b/>
          <w:bCs/>
          <w:color w:val="701471"/>
          <w:sz w:val="20"/>
          <w:szCs w:val="20"/>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25824" behindDoc="0" locked="0" layoutInCell="1" allowOverlap="1" wp14:anchorId="5FADB109" wp14:editId="256D879A">
                <wp:simplePos x="0" y="0"/>
                <wp:positionH relativeFrom="column">
                  <wp:posOffset>1395276</wp:posOffset>
                </wp:positionH>
                <wp:positionV relativeFrom="paragraph">
                  <wp:posOffset>44269</wp:posOffset>
                </wp:positionV>
                <wp:extent cx="2503170" cy="576580"/>
                <wp:effectExtent l="0" t="0" r="0" b="0"/>
                <wp:wrapNone/>
                <wp:docPr id="414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3170" cy="5765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EA18EC" w:rsidRDefault="00721450" w:rsidP="006A31AE">
                            <w:r>
                              <w:t>The t</w:t>
                            </w:r>
                            <w:r w:rsidRPr="00EA18EC">
                              <w:t>eenage conception rate in Croydon is still one of the highest in London.</w:t>
                            </w:r>
                          </w:p>
                          <w:p w:rsidR="00721450" w:rsidRPr="00490C55" w:rsidRDefault="00721450" w:rsidP="006A31A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ADB109" id="Text Box 22" o:spid="_x0000_s1065" type="#_x0000_t202" style="position:absolute;margin-left:109.85pt;margin-top:3.5pt;width:197.1pt;height:45.4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" stroked="f">
                <v:textbox>
                  <w:txbxContent>
                    <w:p w:rsidR="00721450" w:rsidRPr="00EA18EC" w:rsidRDefault="00721450" w:rsidP="006A31AE">
                      <w:r>
                        <w:t>The t</w:t>
                      </w:r>
                      <w:r w:rsidRPr="00EA18EC">
                        <w:t>eenage conception rate in Croydon is still one of the highest in London.</w:t>
                      </w:r>
                    </w:p>
                    <w:p w:rsidR="00721450" w:rsidRPr="00490C55" w:rsidRDefault="00721450" w:rsidP="006A31AE"/>
                  </w:txbxContent>
                </v:textbox>
              </v:shape>
            </w:pict>
          </mc:Fallback>
        </mc:AlternateContent>
      </w:r>
    </w:p>
    <w:p w:rsidR="00277CF4" w:rsidRDefault="00277CF4" w:rsidP="006A31AE">
      <w:pPr>
        <w:spacing w:after="0" w:line="240" w:lineRule="auto"/>
        <w:outlineLvl w:val="0"/>
        <w:rPr>
          <w:rFonts w:ascii="Arial" w:eastAsia="Times New Roman" w:hAnsi="Arial" w:cs="Arial"/>
          <w:b/>
          <w:bCs/>
          <w:color w:val="701471"/>
          <w:sz w:val="20"/>
          <w:szCs w:val="20"/>
          <w:lang w:eastAsia="en-GB"/>
        </w:rPr>
      </w:pPr>
    </w:p>
    <w:p w:rsidR="00277CF4" w:rsidRDefault="00277CF4" w:rsidP="006A31AE">
      <w:pPr>
        <w:spacing w:after="0" w:line="240" w:lineRule="auto"/>
        <w:outlineLvl w:val="0"/>
        <w:rPr>
          <w:rFonts w:ascii="Arial" w:eastAsia="Times New Roman" w:hAnsi="Arial" w:cs="Arial"/>
          <w:b/>
          <w:bCs/>
          <w:color w:val="701471"/>
          <w:sz w:val="20"/>
          <w:szCs w:val="20"/>
          <w:lang w:eastAsia="en-GB"/>
        </w:rPr>
      </w:pPr>
    </w:p>
    <w:p w:rsidR="00277CF4" w:rsidRDefault="00277CF4" w:rsidP="006A31AE">
      <w:pPr>
        <w:spacing w:after="0" w:line="240" w:lineRule="auto"/>
        <w:outlineLvl w:val="0"/>
        <w:rPr>
          <w:rFonts w:ascii="Arial" w:eastAsia="Times New Roman" w:hAnsi="Arial" w:cs="Arial"/>
          <w:b/>
          <w:bCs/>
          <w:color w:val="701471"/>
          <w:sz w:val="20"/>
          <w:szCs w:val="20"/>
          <w:lang w:eastAsia="en-GB"/>
        </w:rPr>
      </w:pPr>
    </w:p>
    <w:p w:rsidR="00277CF4" w:rsidRDefault="00277CF4" w:rsidP="006A31AE">
      <w:pPr>
        <w:spacing w:after="0" w:line="240" w:lineRule="auto"/>
        <w:outlineLvl w:val="0"/>
        <w:rPr>
          <w:rFonts w:ascii="Arial" w:eastAsia="Times New Roman" w:hAnsi="Arial" w:cs="Arial"/>
          <w:b/>
          <w:bCs/>
          <w:color w:val="701471"/>
          <w:sz w:val="20"/>
          <w:szCs w:val="20"/>
          <w:lang w:eastAsia="en-GB"/>
        </w:rPr>
      </w:pPr>
    </w:p>
    <w:p w:rsidR="006A31AE" w:rsidRPr="00654D63" w:rsidRDefault="006A31AE" w:rsidP="006A31AE">
      <w:pPr>
        <w:spacing w:after="0" w:line="240" w:lineRule="auto"/>
        <w:outlineLvl w:val="0"/>
        <w:rPr>
          <w:rFonts w:ascii="Arial" w:eastAsia="Times New Roman" w:hAnsi="Arial" w:cs="Arial"/>
          <w:b/>
          <w:bCs/>
          <w:color w:val="701471"/>
          <w:sz w:val="20"/>
          <w:szCs w:val="20"/>
          <w:lang w:eastAsia="en-GB"/>
        </w:rPr>
      </w:pPr>
    </w:p>
    <w:p w:rsidR="006A31AE" w:rsidRPr="006A31AE" w:rsidRDefault="00277CF4" w:rsidP="006A31AE">
      <w:pPr>
        <w:spacing w:after="0" w:line="240" w:lineRule="auto"/>
        <w:ind w:left="426"/>
        <w:outlineLvl w:val="0"/>
        <w:rPr>
          <w:rFonts w:ascii="Arial" w:eastAsia="Times New Roman" w:hAnsi="Arial" w:cs="Arial"/>
          <w:b/>
          <w:bCs/>
          <w:color w:val="701471"/>
          <w:sz w:val="28"/>
          <w:szCs w:val="24"/>
          <w:lang w:eastAsia="en-GB"/>
        </w:rPr>
      </w:pPr>
      <w:r w:rsidRPr="00654D63">
        <w:rPr>
          <w:rFonts w:ascii="Arial" w:eastAsia="Times New Roman" w:hAnsi="Arial" w:cs="Arial"/>
          <w:b/>
          <w:bCs/>
          <w:noProof/>
          <w:color w:val="701471"/>
          <w:sz w:val="20"/>
          <w:szCs w:val="20"/>
          <w:lang w:eastAsia="en-GB"/>
        </w:rPr>
        <mc:AlternateContent>
          <mc:Choice Requires="wps">
            <w:drawing>
              <wp:anchor distT="0" distB="0" distL="114300" distR="114300" simplePos="0" relativeHeight="251718656" behindDoc="0" locked="0" layoutInCell="1" allowOverlap="1" wp14:anchorId="62C9BD1A" wp14:editId="70687552">
                <wp:simplePos x="0" y="0"/>
                <wp:positionH relativeFrom="column">
                  <wp:posOffset>1429113</wp:posOffset>
                </wp:positionH>
                <wp:positionV relativeFrom="paragraph">
                  <wp:posOffset>38826</wp:posOffset>
                </wp:positionV>
                <wp:extent cx="2050415" cy="692150"/>
                <wp:effectExtent l="0" t="0" r="6985" b="0"/>
                <wp:wrapNone/>
                <wp:docPr id="4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0415" cy="692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9F2A5B" w:rsidRDefault="00721450" w:rsidP="006A31AE">
                            <w:r w:rsidRPr="009F2A5B">
                              <w:t>Excess weight in pupils in Year 6 remains higher than the national average.</w:t>
                            </w:r>
                          </w:p>
                          <w:p w:rsidR="00721450" w:rsidRDefault="00721450" w:rsidP="006A31AE">
                            <w:r>
                              <w:t>.</w:t>
                            </w:r>
                          </w:p>
                          <w:p w:rsidR="00721450" w:rsidRPr="00490C55" w:rsidRDefault="00721450" w:rsidP="006A31A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C9BD1A" id="Text Box 20" o:spid="_x0000_s1066" type="#_x0000_t202" style="position:absolute;left:0;text-align:left;margin-left:112.55pt;margin-top:3.05pt;width:161.45pt;height:5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" stroked="f">
                <v:textbox>
                  <w:txbxContent>
                    <w:p w:rsidR="00721450" w:rsidRPr="009F2A5B" w:rsidRDefault="00721450" w:rsidP="006A31AE">
                      <w:r w:rsidRPr="009F2A5B">
                        <w:t>Excess weight in pupils in Year 6 remains higher than the national average.</w:t>
                      </w:r>
                    </w:p>
                    <w:p w:rsidR="00721450" w:rsidRDefault="00721450" w:rsidP="006A31AE">
                      <w:r>
                        <w:t>.</w:t>
                      </w:r>
                    </w:p>
                    <w:p w:rsidR="00721450" w:rsidRPr="00490C55" w:rsidRDefault="00721450" w:rsidP="006A31AE"/>
                  </w:txbxContent>
                </v:textbox>
              </v:shape>
            </w:pict>
          </mc:Fallback>
        </mc:AlternateContent>
      </w:r>
      <w:r w:rsidR="006A31AE" w:rsidRPr="006A31AE">
        <w:rPr>
          <w:rFonts w:ascii="Arial" w:eastAsia="Times New Roman" w:hAnsi="Arial" w:cs="Arial"/>
          <w:b/>
          <w:bCs/>
          <w:noProof/>
          <w:color w:val="701471"/>
          <w:sz w:val="28"/>
          <w:szCs w:val="24"/>
          <w:lang w:eastAsia="en-GB"/>
        </w:rPr>
        <w:drawing>
          <wp:inline distT="0" distB="0" distL="0" distR="0" wp14:anchorId="7269B3B0" wp14:editId="5C1F4C2A">
            <wp:extent cx="436880" cy="730933"/>
            <wp:effectExtent l="0" t="0" r="1270" b="0"/>
            <wp:docPr id="134" name="Picture 8" descr="Couple and ho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ple and house.png"/>
                    <pic:cNvPicPr/>
                  </pic:nvPicPr>
                  <pic:blipFill>
                    <a:blip r:embed="rId60" cstate="print"/>
                    <a:stretch>
                      <a:fillRect/>
                    </a:stretch>
                  </pic:blipFill>
                  <pic:spPr>
                    <a:xfrm>
                      <a:off x="0" y="0"/>
                      <a:ext cx="436880" cy="730933"/>
                    </a:xfrm>
                    <a:prstGeom prst="rect">
                      <a:avLst/>
                    </a:prstGeom>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Default="00654D63" w:rsidP="006A31AE">
      <w:pPr>
        <w:spacing w:after="0" w:line="240" w:lineRule="auto"/>
        <w:ind w:left="426"/>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20704" behindDoc="0" locked="0" layoutInCell="1" allowOverlap="1" wp14:anchorId="75F7F6E8" wp14:editId="44C82BED">
                <wp:simplePos x="0" y="0"/>
                <wp:positionH relativeFrom="column">
                  <wp:posOffset>1381942</wp:posOffset>
                </wp:positionH>
                <wp:positionV relativeFrom="paragraph">
                  <wp:posOffset>64317</wp:posOffset>
                </wp:positionV>
                <wp:extent cx="2296795" cy="619760"/>
                <wp:effectExtent l="0" t="0" r="8255" b="8890"/>
                <wp:wrapNone/>
                <wp:docPr id="2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6795" cy="619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9F2A5B" w:rsidRDefault="00721450" w:rsidP="006A31AE">
                            <w:r w:rsidRPr="009F2A5B">
                              <w:t>The rate of injuries due to falls in over 65s also remains higher than the regional and national averages.</w:t>
                            </w:r>
                          </w:p>
                          <w:p w:rsidR="00721450" w:rsidRPr="00490C55" w:rsidRDefault="00721450" w:rsidP="006A31A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F7F6E8" id="_x0000_s1067" type="#_x0000_t202" style="position:absolute;left:0;text-align:left;margin-left:108.8pt;margin-top:5.05pt;width:180.85pt;height:48.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" stroked="f">
                <v:textbox>
                  <w:txbxContent>
                    <w:p w:rsidR="00721450" w:rsidRPr="009F2A5B" w:rsidRDefault="00721450" w:rsidP="006A31AE">
                      <w:r w:rsidRPr="009F2A5B">
                        <w:t>The rate of injuries due to falls in over 65s also remains higher than the regional and national averages.</w:t>
                      </w:r>
                    </w:p>
                    <w:p w:rsidR="00721450" w:rsidRPr="00490C55" w:rsidRDefault="00721450" w:rsidP="006A31AE"/>
                  </w:txbxContent>
                </v:textbox>
              </v:shape>
            </w:pict>
          </mc:Fallback>
        </mc:AlternateContent>
      </w:r>
      <w:r w:rsidR="006A31AE" w:rsidRPr="006A31AE">
        <w:rPr>
          <w:rFonts w:ascii="Arial" w:eastAsia="Times New Roman" w:hAnsi="Arial" w:cs="Arial"/>
          <w:b/>
          <w:bCs/>
          <w:noProof/>
          <w:color w:val="701471"/>
          <w:sz w:val="28"/>
          <w:szCs w:val="24"/>
          <w:lang w:eastAsia="en-GB"/>
        </w:rPr>
        <w:drawing>
          <wp:inline distT="0" distB="0" distL="0" distR="0" wp14:anchorId="5310AB76" wp14:editId="418EAAA1">
            <wp:extent cx="436880" cy="808612"/>
            <wp:effectExtent l="0" t="0" r="1270" b="0"/>
            <wp:docPr id="136" name="Picture 10" descr="Young offend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ng offender.png"/>
                    <pic:cNvPicPr/>
                  </pic:nvPicPr>
                  <pic:blipFill>
                    <a:blip r:embed="rId61" cstate="print"/>
                    <a:stretch>
                      <a:fillRect/>
                    </a:stretch>
                  </pic:blipFill>
                  <pic:spPr>
                    <a:xfrm>
                      <a:off x="0" y="0"/>
                      <a:ext cx="440091" cy="814555"/>
                    </a:xfrm>
                    <a:prstGeom prst="rect">
                      <a:avLst/>
                    </a:prstGeom>
                  </pic:spPr>
                </pic:pic>
              </a:graphicData>
            </a:graphic>
          </wp:inline>
        </w:drawing>
      </w:r>
    </w:p>
    <w:p w:rsidR="00EC002A" w:rsidRDefault="00EC002A" w:rsidP="006A31AE">
      <w:pPr>
        <w:spacing w:after="0" w:line="240" w:lineRule="auto"/>
        <w:ind w:left="426"/>
        <w:outlineLvl w:val="0"/>
        <w:rPr>
          <w:rFonts w:ascii="Arial" w:eastAsia="Times New Roman" w:hAnsi="Arial" w:cs="Arial"/>
          <w:b/>
          <w:bCs/>
          <w:color w:val="701471"/>
          <w:sz w:val="28"/>
          <w:szCs w:val="24"/>
          <w:lang w:eastAsia="en-GB"/>
        </w:rPr>
      </w:pPr>
    </w:p>
    <w:p w:rsidR="00654D63" w:rsidRDefault="00654D63" w:rsidP="006A31AE">
      <w:pPr>
        <w:spacing w:after="0" w:line="240" w:lineRule="auto"/>
        <w:ind w:left="426"/>
        <w:outlineLvl w:val="0"/>
        <w:rPr>
          <w:rFonts w:ascii="Arial" w:eastAsia="Times New Roman" w:hAnsi="Arial" w:cs="Arial"/>
          <w:b/>
          <w:bCs/>
          <w:color w:val="701471"/>
          <w:sz w:val="28"/>
          <w:szCs w:val="24"/>
          <w:lang w:eastAsia="en-GB"/>
        </w:rPr>
      </w:pPr>
    </w:p>
    <w:p w:rsidR="00654D63" w:rsidRPr="006A31AE" w:rsidRDefault="00654D63" w:rsidP="00654D63">
      <w:pPr>
        <w:spacing w:after="0" w:line="240" w:lineRule="auto"/>
        <w:outlineLvl w:val="0"/>
        <w:rPr>
          <w:rFonts w:ascii="Arial" w:eastAsia="Times New Roman" w:hAnsi="Arial" w:cs="Arial"/>
          <w:b/>
          <w:bCs/>
          <w:color w:val="701471"/>
          <w:sz w:val="28"/>
          <w:szCs w:val="24"/>
          <w:lang w:eastAsia="en-GB"/>
        </w:rPr>
        <w:sectPr w:rsidR="00654D63" w:rsidRPr="006A31AE" w:rsidSect="006A31AE">
          <w:footerReference w:type="default" r:id="rId62"/>
          <w:pgSz w:w="16838" w:h="11906" w:orient="landscape"/>
          <w:pgMar w:top="1418" w:right="1418" w:bottom="1418" w:left="1418" w:header="709" w:footer="709" w:gutter="0"/>
          <w:cols w:num="2" w:space="708"/>
          <w:docGrid w:linePitch="360"/>
        </w:sectPr>
      </w:pPr>
    </w:p>
    <w:p w:rsidR="003227AA" w:rsidRDefault="003227AA" w:rsidP="006A31AE">
      <w:pPr>
        <w:spacing w:after="0" w:line="240" w:lineRule="auto"/>
        <w:rPr>
          <w:rFonts w:ascii="Arial" w:eastAsia="Times New Roman" w:hAnsi="Arial" w:cs="Arial"/>
          <w:b/>
          <w:bCs/>
          <w:color w:val="701471"/>
          <w:sz w:val="32"/>
          <w:szCs w:val="28"/>
          <w:lang w:eastAsia="en-GB"/>
        </w:rPr>
      </w:pPr>
    </w:p>
    <w:p w:rsidR="006A31AE" w:rsidRPr="006A31AE" w:rsidRDefault="006A31AE" w:rsidP="006A31AE">
      <w:pPr>
        <w:spacing w:after="0" w:line="240" w:lineRule="auto"/>
        <w:rPr>
          <w:rFonts w:ascii="Arial" w:eastAsia="Times New Roman" w:hAnsi="Arial" w:cs="Arial"/>
          <w:b/>
          <w:bCs/>
          <w:color w:val="701471"/>
          <w:sz w:val="32"/>
          <w:szCs w:val="28"/>
          <w:lang w:eastAsia="en-GB"/>
        </w:rPr>
      </w:pPr>
      <w:r w:rsidRPr="006A31AE">
        <w:rPr>
          <w:rFonts w:ascii="Arial" w:eastAsia="Times New Roman" w:hAnsi="Arial" w:cs="Arial"/>
          <w:b/>
          <w:bCs/>
          <w:noProof/>
          <w:color w:val="701471"/>
          <w:sz w:val="32"/>
          <w:szCs w:val="28"/>
          <w:lang w:eastAsia="en-GB"/>
        </w:rPr>
        <w:drawing>
          <wp:inline distT="0" distB="0" distL="0" distR="0" wp14:anchorId="1934B762" wp14:editId="166BFCBA">
            <wp:extent cx="800100" cy="715010"/>
            <wp:effectExtent l="0" t="0" r="0" b="8890"/>
            <wp:docPr id="137"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3" cstate="print"/>
                    <a:stretch>
                      <a:fillRect/>
                    </a:stretch>
                  </pic:blipFill>
                  <pic:spPr bwMode="auto">
                    <a:xfrm>
                      <a:off x="0" y="0"/>
                      <a:ext cx="800573" cy="715433"/>
                    </a:xfrm>
                    <a:prstGeom prst="rect">
                      <a:avLst/>
                    </a:prstGeom>
                    <a:noFill/>
                    <a:ln w="9525">
                      <a:noFill/>
                      <a:miter lim="800000"/>
                      <a:headEnd/>
                      <a:tailEnd/>
                    </a:ln>
                    <a:effectLst/>
                  </pic:spPr>
                </pic:pic>
              </a:graphicData>
            </a:graphic>
          </wp:inline>
        </w:drawing>
      </w:r>
      <w:r w:rsidRPr="006A31AE">
        <w:rPr>
          <w:rFonts w:ascii="Arial" w:eastAsia="Times New Roman" w:hAnsi="Arial" w:cs="Arial"/>
          <w:b/>
          <w:bCs/>
          <w:color w:val="701471"/>
          <w:sz w:val="32"/>
          <w:szCs w:val="28"/>
          <w:lang w:eastAsia="en-GB"/>
        </w:rPr>
        <w:t xml:space="preserve"> </w:t>
      </w:r>
      <w:r w:rsidRPr="006A31AE">
        <w:rPr>
          <w:rFonts w:ascii="Arial" w:eastAsia="Times New Roman" w:hAnsi="Arial" w:cs="Arial"/>
          <w:b/>
          <w:bCs/>
          <w:color w:val="701471"/>
          <w:sz w:val="40"/>
          <w:szCs w:val="28"/>
          <w:lang w:eastAsia="en-GB"/>
        </w:rPr>
        <w:t>Social Care</w:t>
      </w:r>
    </w:p>
    <w:p w:rsidR="00277CF4" w:rsidRDefault="00277CF4"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299" distR="114299" simplePos="0" relativeHeight="251723776" behindDoc="0" locked="0" layoutInCell="1" allowOverlap="1" wp14:anchorId="47CB220B" wp14:editId="56E5DBDB">
                <wp:simplePos x="0" y="0"/>
                <wp:positionH relativeFrom="column">
                  <wp:posOffset>4352924</wp:posOffset>
                </wp:positionH>
                <wp:positionV relativeFrom="paragraph">
                  <wp:posOffset>79375</wp:posOffset>
                </wp:positionV>
                <wp:extent cx="0" cy="5048250"/>
                <wp:effectExtent l="0" t="0" r="19050" b="19050"/>
                <wp:wrapNone/>
                <wp:docPr id="26" name="AutoShap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48250"/>
                        </a:xfrm>
                        <a:prstGeom prst="straightConnector1">
                          <a:avLst/>
                        </a:prstGeom>
                        <a:noFill/>
                        <a:ln w="9525">
                          <a:solidFill>
                            <a:sysClr val="window" lastClr="FFFFFF">
                              <a:lumMod val="50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CE39DF" id="AutoShape 33" o:spid="_x0000_s1026" type="#_x0000_t32" style="position:absolute;margin-left:342.75pt;margin-top:6.25pt;width:0;height:397.5pt;z-index:2517237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" strokecolor="#7f7f7f"/>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sym w:font="Wingdings" w:char="F0FC"/>
      </w:r>
      <w:r w:rsidRPr="006A31AE">
        <w:rPr>
          <w:rFonts w:ascii="Arial" w:eastAsia="Times New Roman" w:hAnsi="Arial" w:cs="Arial"/>
          <w:b/>
          <w:bCs/>
          <w:color w:val="701471"/>
          <w:sz w:val="28"/>
          <w:szCs w:val="24"/>
          <w:lang w:eastAsia="en-GB"/>
        </w:rPr>
        <w:t xml:space="preserve"> Areas of progress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BE49E5"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32992" behindDoc="0" locked="0" layoutInCell="1" allowOverlap="1" wp14:anchorId="4B3054EC" wp14:editId="1836BEF3">
                <wp:simplePos x="0" y="0"/>
                <wp:positionH relativeFrom="column">
                  <wp:posOffset>1752600</wp:posOffset>
                </wp:positionH>
                <wp:positionV relativeFrom="paragraph">
                  <wp:posOffset>83911</wp:posOffset>
                </wp:positionV>
                <wp:extent cx="2336800" cy="1073694"/>
                <wp:effectExtent l="0" t="0" r="6350" b="0"/>
                <wp:wrapNone/>
                <wp:docPr id="5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6800" cy="107369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BE49E5" w:rsidRDefault="00721450" w:rsidP="006A31AE">
                            <w:r w:rsidRPr="00BE49E5">
                              <w:t xml:space="preserve">Croydon </w:t>
                            </w:r>
                            <w:r>
                              <w:t xml:space="preserve">has dropped down from one of the highest rates of domestic abuse per 1,000 population to the </w:t>
                            </w:r>
                            <w:r w:rsidRPr="00BE49E5">
                              <w:t xml:space="preserve">top third of </w:t>
                            </w:r>
                            <w:r>
                              <w:t xml:space="preserve">all </w:t>
                            </w:r>
                            <w:r w:rsidRPr="00BE49E5">
                              <w:t>London Councils</w:t>
                            </w:r>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3054EC" id="Text Box 8" o:spid="_x0000_s1068" type="#_x0000_t202" style="position:absolute;margin-left:138pt;margin-top:6.6pt;width:184pt;height:84.5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" stroked="f">
                <v:textbox>
                  <w:txbxContent>
                    <w:p w:rsidR="00721450" w:rsidRPr="00BE49E5" w:rsidRDefault="00721450" w:rsidP="006A31AE">
                      <w:r w:rsidRPr="00BE49E5">
                        <w:t xml:space="preserve">Croydon </w:t>
                      </w:r>
                      <w:r>
                        <w:t xml:space="preserve">has dropped down from one of the highest rates of domestic abuse per 1,000 population to the </w:t>
                      </w:r>
                      <w:r w:rsidRPr="00BE49E5">
                        <w:t xml:space="preserve">top third of </w:t>
                      </w:r>
                      <w:r>
                        <w:t xml:space="preserve">all </w:t>
                      </w:r>
                      <w:r w:rsidRPr="00BE49E5">
                        <w:t>London Councils</w:t>
                      </w:r>
                      <w:r>
                        <w:t>.</w:t>
                      </w:r>
                    </w:p>
                  </w:txbxContent>
                </v:textbox>
              </v:shape>
            </w:pict>
          </mc:Fallback>
        </mc:AlternateContent>
      </w:r>
      <w:r w:rsidR="001F5854">
        <w:rPr>
          <w:noProof/>
          <w:lang w:eastAsia="en-GB"/>
        </w:rPr>
        <w:drawing>
          <wp:inline distT="0" distB="0" distL="0" distR="0" wp14:anchorId="738802AF" wp14:editId="1495631F">
            <wp:extent cx="1005840" cy="1044526"/>
            <wp:effectExtent l="0" t="0" r="3810" b="3810"/>
            <wp:docPr id="13947" name="Picture 13947" descr="cid:image001.jpg@01D4A420.35F9D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4A420.35F9D060"/>
                    <pic:cNvPicPr>
                      <a:picLocks noChangeAspect="1" noChangeArrowheads="1"/>
                    </pic:cNvPicPr>
                  </pic:nvPicPr>
                  <pic:blipFill>
                    <a:blip r:embed="rId64" r:link="rId65">
                      <a:extLst>
                        <a:ext uri="{28A0092B-C50C-407E-A947-70E740481C1C}">
                          <a14:useLocalDpi xmlns:a14="http://schemas.microsoft.com/office/drawing/2010/main" val="0"/>
                        </a:ext>
                      </a:extLst>
                    </a:blip>
                    <a:srcRect/>
                    <a:stretch>
                      <a:fillRect/>
                    </a:stretch>
                  </pic:blipFill>
                  <pic:spPr bwMode="auto">
                    <a:xfrm>
                      <a:off x="0" y="0"/>
                      <a:ext cx="1010552" cy="1049419"/>
                    </a:xfrm>
                    <a:prstGeom prst="rect">
                      <a:avLst/>
                    </a:prstGeom>
                    <a:noFill/>
                    <a:ln>
                      <a:noFill/>
                    </a:ln>
                  </pic:spPr>
                </pic:pic>
              </a:graphicData>
            </a:graphic>
          </wp:inline>
        </w:drawing>
      </w: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4A1FFA" w:rsidRPr="006A31AE" w:rsidRDefault="004A1FFA"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4A1FFA"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661CBAC1" wp14:editId="773576AB">
            <wp:extent cx="1413164" cy="926702"/>
            <wp:effectExtent l="0" t="0" r="0" b="6985"/>
            <wp:docPr id="13972" name="Picture 31" descr="TN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 name="Picture 31" descr="TNOs.p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20072" cy="931232"/>
                    </a:xfrm>
                    <a:prstGeom prst="rect">
                      <a:avLst/>
                    </a:prstGeom>
                    <a:noFill/>
                    <a:ln>
                      <a:noFill/>
                    </a:ln>
                    <a:extLst/>
                  </pic:spPr>
                </pic:pic>
              </a:graphicData>
            </a:graphic>
          </wp:inline>
        </w:drawing>
      </w:r>
      <w:r w:rsidR="00A64384"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35040" behindDoc="0" locked="0" layoutInCell="1" allowOverlap="1" wp14:anchorId="43DDA335" wp14:editId="28CB0026">
                <wp:simplePos x="0" y="0"/>
                <wp:positionH relativeFrom="column">
                  <wp:posOffset>1821543</wp:posOffset>
                </wp:positionH>
                <wp:positionV relativeFrom="paragraph">
                  <wp:posOffset>147139</wp:posOffset>
                </wp:positionV>
                <wp:extent cx="2153920" cy="870585"/>
                <wp:effectExtent l="0" t="0" r="0" b="5715"/>
                <wp:wrapNone/>
                <wp:docPr id="1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3920" cy="870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4A1FFA" w:rsidRDefault="00721450" w:rsidP="006A31AE">
                            <w:r w:rsidRPr="004A1FFA">
                              <w:t>The number of unaccompanied asylum seeking children has fallen every year for the last 3 years.</w:t>
                            </w:r>
                          </w:p>
                          <w:p w:rsidR="00721450" w:rsidRPr="004A1FFA" w:rsidRDefault="00721450" w:rsidP="006A31A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DDA335" id="Text Box 29" o:spid="_x0000_s1069" type="#_x0000_t202" style="position:absolute;margin-left:143.45pt;margin-top:11.6pt;width:169.6pt;height:68.5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" stroked="f">
                <v:textbox>
                  <w:txbxContent>
                    <w:p w:rsidR="00721450" w:rsidRPr="004A1FFA" w:rsidRDefault="00721450" w:rsidP="006A31AE">
                      <w:r w:rsidRPr="004A1FFA">
                        <w:t>The number of unaccompanied asylum seeking children has fallen every year for the last 3 years.</w:t>
                      </w:r>
                    </w:p>
                    <w:p w:rsidR="00721450" w:rsidRPr="004A1FFA" w:rsidRDefault="00721450" w:rsidP="006A31AE"/>
                  </w:txbxContent>
                </v:textbox>
              </v:shape>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4A1FFA" w:rsidRDefault="004A1FFA" w:rsidP="006A31AE">
      <w:pPr>
        <w:spacing w:after="0" w:line="240" w:lineRule="auto"/>
        <w:outlineLvl w:val="0"/>
        <w:rPr>
          <w:rFonts w:ascii="Arial" w:eastAsia="Times New Roman" w:hAnsi="Arial" w:cs="Arial"/>
          <w:b/>
          <w:bCs/>
          <w:color w:val="701471"/>
          <w:sz w:val="28"/>
          <w:szCs w:val="24"/>
          <w:lang w:eastAsia="en-GB"/>
        </w:rPr>
      </w:pPr>
    </w:p>
    <w:p w:rsidR="004A1FFA" w:rsidRDefault="004A1FFA" w:rsidP="006A31AE">
      <w:pPr>
        <w:spacing w:after="0" w:line="240" w:lineRule="auto"/>
        <w:outlineLvl w:val="0"/>
        <w:rPr>
          <w:rFonts w:ascii="Arial" w:eastAsia="Times New Roman" w:hAnsi="Arial" w:cs="Arial"/>
          <w:b/>
          <w:bCs/>
          <w:color w:val="701471"/>
          <w:sz w:val="28"/>
          <w:szCs w:val="24"/>
          <w:lang w:eastAsia="en-GB"/>
        </w:rPr>
      </w:pPr>
    </w:p>
    <w:p w:rsidR="00654D63" w:rsidRDefault="00654D63" w:rsidP="006A31AE">
      <w:pPr>
        <w:spacing w:after="0" w:line="240" w:lineRule="auto"/>
        <w:outlineLvl w:val="0"/>
        <w:rPr>
          <w:rFonts w:ascii="Arial" w:eastAsia="Times New Roman" w:hAnsi="Arial" w:cs="Arial"/>
          <w:b/>
          <w:bCs/>
          <w:color w:val="701471"/>
          <w:sz w:val="28"/>
          <w:szCs w:val="24"/>
          <w:lang w:eastAsia="en-GB"/>
        </w:rPr>
      </w:pPr>
    </w:p>
    <w:p w:rsidR="00277CF4" w:rsidRPr="006A31AE" w:rsidRDefault="00277CF4"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07482242" wp14:editId="7556F75E">
            <wp:extent cx="226344" cy="200025"/>
            <wp:effectExtent l="19050" t="0" r="2256" b="0"/>
            <wp:docPr id="138" name="Picture 1" descr="Warni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 2.png"/>
                    <pic:cNvPicPr/>
                  </pic:nvPicPr>
                  <pic:blipFill>
                    <a:blip r:embed="rId36" cstate="print"/>
                    <a:stretch>
                      <a:fillRect/>
                    </a:stretch>
                  </pic:blipFill>
                  <pic:spPr>
                    <a:xfrm>
                      <a:off x="0" y="0"/>
                      <a:ext cx="226645" cy="200291"/>
                    </a:xfrm>
                    <a:prstGeom prst="rect">
                      <a:avLst/>
                    </a:prstGeom>
                  </pic:spPr>
                </pic:pic>
              </a:graphicData>
            </a:graphic>
          </wp:inline>
        </w:drawing>
      </w:r>
      <w:r w:rsidRPr="006A31AE">
        <w:rPr>
          <w:rFonts w:ascii="Arial" w:eastAsia="Times New Roman" w:hAnsi="Arial" w:cs="Arial"/>
          <w:b/>
          <w:bCs/>
          <w:color w:val="701471"/>
          <w:sz w:val="28"/>
          <w:szCs w:val="24"/>
          <w:lang w:eastAsia="en-GB"/>
        </w:rPr>
        <w:t xml:space="preserve"> Challenges</w:t>
      </w:r>
    </w:p>
    <w:p w:rsidR="006A31AE" w:rsidRPr="006A31AE" w:rsidRDefault="006A31AE" w:rsidP="006A31AE">
      <w:pPr>
        <w:spacing w:after="0" w:line="240" w:lineRule="auto"/>
        <w:outlineLvl w:val="0"/>
        <w:rPr>
          <w:rFonts w:ascii="Arial" w:eastAsia="Times New Roman" w:hAnsi="Arial" w:cs="Arial"/>
          <w:b/>
          <w:bCs/>
          <w:noProof/>
          <w:color w:val="701471"/>
          <w:sz w:val="28"/>
          <w:szCs w:val="24"/>
          <w:lang w:eastAsia="en-GB"/>
        </w:rPr>
      </w:pPr>
    </w:p>
    <w:p w:rsidR="006A31AE" w:rsidRPr="006A31AE" w:rsidRDefault="006A31AE" w:rsidP="006A31AE">
      <w:pPr>
        <w:spacing w:after="0" w:line="240" w:lineRule="auto"/>
        <w:ind w:left="426" w:firstLine="720"/>
        <w:outlineLvl w:val="0"/>
        <w:rPr>
          <w:rFonts w:ascii="Arial" w:eastAsia="Times New Roman" w:hAnsi="Arial" w:cs="Arial"/>
          <w:b/>
          <w:bCs/>
          <w:noProof/>
          <w:color w:val="701471"/>
          <w:sz w:val="72"/>
          <w:szCs w:val="72"/>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34016" behindDoc="0" locked="0" layoutInCell="1" allowOverlap="1" wp14:anchorId="245CD699" wp14:editId="18A17264">
                <wp:simplePos x="0" y="0"/>
                <wp:positionH relativeFrom="column">
                  <wp:posOffset>2020117</wp:posOffset>
                </wp:positionH>
                <wp:positionV relativeFrom="paragraph">
                  <wp:posOffset>108132</wp:posOffset>
                </wp:positionV>
                <wp:extent cx="2153920" cy="883920"/>
                <wp:effectExtent l="0" t="0" r="0" b="0"/>
                <wp:wrapNone/>
                <wp:docPr id="24"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3920" cy="8839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A64384" w:rsidRDefault="00721450" w:rsidP="006A31AE">
                            <w:r w:rsidRPr="00A64384">
                              <w:t>The rate of referrals to children’s social care is now higher than both the regional and national averages.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5CD699" id="Text Box 28" o:spid="_x0000_s1070" type="#_x0000_t202" style="position:absolute;left:0;text-align:left;margin-left:159.05pt;margin-top:8.5pt;width:169.6pt;height:69.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" stroked="f">
                <v:textbox>
                  <w:txbxContent>
                    <w:p w:rsidR="00721450" w:rsidRPr="00A64384" w:rsidRDefault="00721450" w:rsidP="006A31AE">
                      <w:r w:rsidRPr="00A64384">
                        <w:t>The rate of referrals to children’s social care is now higher than both the regional and national averages.</w:t>
                      </w:r>
                    </w:p>
                  </w:txbxContent>
                </v:textbox>
              </v:shape>
            </w:pict>
          </mc:Fallback>
        </mc:AlternateContent>
      </w:r>
      <w:r w:rsidRPr="006A31AE">
        <w:rPr>
          <w:rFonts w:ascii="Arial" w:eastAsia="Times New Roman" w:hAnsi="Arial" w:cs="Arial"/>
          <w:b/>
          <w:bCs/>
          <w:noProof/>
          <w:color w:val="701471"/>
          <w:sz w:val="72"/>
          <w:szCs w:val="72"/>
          <w:lang w:eastAsia="en-GB"/>
        </w:rPr>
        <w:drawing>
          <wp:inline distT="0" distB="0" distL="0" distR="0" wp14:anchorId="04AE32C2" wp14:editId="29DDFA72">
            <wp:extent cx="578838" cy="1084580"/>
            <wp:effectExtent l="0" t="0" r="0" b="1270"/>
            <wp:docPr id="1333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8" name="Picture 2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3012" cy="1092400"/>
                    </a:xfrm>
                    <a:prstGeom prst="rect">
                      <a:avLst/>
                    </a:prstGeom>
                    <a:noFill/>
                    <a:ln>
                      <a:noFill/>
                    </a:ln>
                    <a:effectLst/>
                    <a:extLst/>
                  </pic:spPr>
                </pic:pic>
              </a:graphicData>
            </a:graphic>
          </wp:inline>
        </w:drawing>
      </w:r>
    </w:p>
    <w:p w:rsidR="006A31AE" w:rsidRPr="006A31AE" w:rsidRDefault="006A31AE" w:rsidP="006A31AE">
      <w:pPr>
        <w:spacing w:after="0" w:line="240" w:lineRule="auto"/>
        <w:outlineLvl w:val="0"/>
        <w:rPr>
          <w:rFonts w:ascii="Arial" w:eastAsia="Times New Roman" w:hAnsi="Arial" w:cs="Arial"/>
          <w:b/>
          <w:bCs/>
          <w:noProof/>
          <w:color w:val="701471"/>
          <w:sz w:val="28"/>
          <w:szCs w:val="24"/>
          <w:lang w:eastAsia="en-GB"/>
        </w:rPr>
      </w:pPr>
    </w:p>
    <w:p w:rsidR="006A31AE" w:rsidRDefault="006A31AE" w:rsidP="004A1FFA">
      <w:pPr>
        <w:spacing w:after="0" w:line="240" w:lineRule="auto"/>
        <w:outlineLvl w:val="0"/>
        <w:rPr>
          <w:rFonts w:ascii="Arial" w:eastAsia="Times New Roman" w:hAnsi="Arial" w:cs="Arial"/>
          <w:b/>
          <w:bCs/>
          <w:color w:val="701471"/>
          <w:sz w:val="28"/>
          <w:szCs w:val="24"/>
          <w:lang w:eastAsia="en-GB"/>
        </w:rPr>
      </w:pPr>
    </w:p>
    <w:p w:rsidR="006A31AE" w:rsidRPr="006A31AE" w:rsidRDefault="004A1FFA"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22752" behindDoc="0" locked="0" layoutInCell="1" allowOverlap="1" wp14:anchorId="3FCEE0CC" wp14:editId="7E92CCB2">
                <wp:simplePos x="0" y="0"/>
                <wp:positionH relativeFrom="column">
                  <wp:posOffset>2014764</wp:posOffset>
                </wp:positionH>
                <wp:positionV relativeFrom="paragraph">
                  <wp:posOffset>119471</wp:posOffset>
                </wp:positionV>
                <wp:extent cx="2286000" cy="718185"/>
                <wp:effectExtent l="0" t="0" r="0" b="5715"/>
                <wp:wrapNone/>
                <wp:docPr id="2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0" cy="718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4A1FFA" w:rsidRDefault="00721450" w:rsidP="004A1FFA">
                            <w:pPr>
                              <w:spacing w:after="0" w:line="240" w:lineRule="auto"/>
                            </w:pPr>
                            <w:r w:rsidRPr="004A1FFA">
                              <w:rPr>
                                <w:rFonts w:eastAsia="Times New Roman"/>
                                <w:bCs/>
                                <w:lang w:eastAsia="en-GB"/>
                              </w:rPr>
                              <w:t>The number of looked after children in Croydon is still the highest in London</w:t>
                            </w:r>
                            <w:r>
                              <w:rPr>
                                <w:rFonts w:eastAsia="Times New Roman"/>
                                <w:bCs/>
                                <w:lang w:eastAsia="en-GB"/>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CEE0CC" id="Text Box 27" o:spid="_x0000_s1071" type="#_x0000_t202" style="position:absolute;margin-left:158.65pt;margin-top:9.4pt;width:180pt;height:56.5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" stroked="f">
                <v:textbox>
                  <w:txbxContent>
                    <w:p w:rsidR="00721450" w:rsidRPr="004A1FFA" w:rsidRDefault="00721450" w:rsidP="004A1FFA">
                      <w:pPr>
                        <w:spacing w:after="0" w:line="240" w:lineRule="auto"/>
                      </w:pPr>
                      <w:r w:rsidRPr="004A1FFA">
                        <w:rPr>
                          <w:rFonts w:eastAsia="Times New Roman"/>
                          <w:bCs/>
                          <w:lang w:eastAsia="en-GB"/>
                        </w:rPr>
                        <w:t>The number of looked after children in Croydon is still the highest in London</w:t>
                      </w:r>
                      <w:r>
                        <w:rPr>
                          <w:rFonts w:eastAsia="Times New Roman"/>
                          <w:bCs/>
                          <w:lang w:eastAsia="en-GB"/>
                        </w:rPr>
                        <w:t>.</w:t>
                      </w:r>
                    </w:p>
                  </w:txbxContent>
                </v:textbox>
              </v:shape>
            </w:pict>
          </mc:Fallback>
        </mc:AlternateContent>
      </w:r>
      <w:r w:rsidRPr="006A31AE">
        <w:rPr>
          <w:rFonts w:ascii="Arial" w:eastAsia="Times New Roman" w:hAnsi="Arial" w:cs="Arial"/>
          <w:b/>
          <w:bCs/>
          <w:noProof/>
          <w:color w:val="701471"/>
          <w:sz w:val="28"/>
          <w:szCs w:val="24"/>
          <w:lang w:eastAsia="en-GB"/>
        </w:rPr>
        <w:drawing>
          <wp:inline distT="0" distB="0" distL="0" distR="0" wp14:anchorId="688532D6" wp14:editId="58FC2145">
            <wp:extent cx="1351120" cy="884439"/>
            <wp:effectExtent l="0" t="0" r="1905" b="0"/>
            <wp:docPr id="13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368238" cy="895645"/>
                    </a:xfrm>
                    <a:prstGeom prst="rect">
                      <a:avLst/>
                    </a:prstGeom>
                    <a:noFill/>
                  </pic:spPr>
                </pic:pic>
              </a:graphicData>
            </a:graphic>
          </wp:inline>
        </w:drawing>
      </w:r>
    </w:p>
    <w:p w:rsidR="00654D63" w:rsidRDefault="00654D63" w:rsidP="00095A6E">
      <w:pPr>
        <w:spacing w:after="0" w:line="240" w:lineRule="auto"/>
        <w:outlineLvl w:val="0"/>
        <w:rPr>
          <w:rFonts w:ascii="Arial" w:eastAsia="Times New Roman" w:hAnsi="Arial" w:cs="Arial"/>
          <w:b/>
          <w:bCs/>
          <w:color w:val="701471"/>
          <w:sz w:val="28"/>
          <w:szCs w:val="24"/>
          <w:lang w:eastAsia="en-GB"/>
        </w:rPr>
      </w:pPr>
    </w:p>
    <w:p w:rsidR="00654D63" w:rsidRDefault="00654D63">
      <w:pPr>
        <w:rPr>
          <w:rFonts w:ascii="Arial" w:eastAsia="Times New Roman" w:hAnsi="Arial" w:cs="Arial"/>
          <w:b/>
          <w:bCs/>
          <w:color w:val="701471"/>
          <w:sz w:val="28"/>
          <w:szCs w:val="24"/>
          <w:lang w:eastAsia="en-GB"/>
        </w:rPr>
      </w:pPr>
    </w:p>
    <w:p w:rsidR="004A1FFA" w:rsidRDefault="004A1FFA">
      <w:pPr>
        <w:rPr>
          <w:rFonts w:ascii="Arial" w:eastAsia="Times New Roman" w:hAnsi="Arial" w:cs="Arial"/>
          <w:b/>
          <w:bCs/>
          <w:color w:val="701471"/>
          <w:sz w:val="28"/>
          <w:szCs w:val="24"/>
          <w:lang w:eastAsia="en-GB"/>
        </w:rPr>
      </w:pPr>
    </w:p>
    <w:p w:rsidR="00654D63" w:rsidRDefault="00654D63">
      <w:pPr>
        <w:rPr>
          <w:rFonts w:ascii="Arial" w:eastAsia="Times New Roman" w:hAnsi="Arial" w:cs="Arial"/>
          <w:b/>
          <w:bCs/>
          <w:color w:val="701471"/>
          <w:sz w:val="28"/>
          <w:szCs w:val="24"/>
          <w:lang w:eastAsia="en-GB"/>
        </w:rPr>
      </w:pPr>
      <w:r>
        <w:rPr>
          <w:rFonts w:ascii="Arial" w:eastAsia="Times New Roman" w:hAnsi="Arial" w:cs="Arial"/>
          <w:b/>
          <w:bCs/>
          <w:color w:val="701471"/>
          <w:sz w:val="28"/>
          <w:szCs w:val="24"/>
          <w:lang w:eastAsia="en-GB"/>
        </w:rPr>
        <w:br w:type="page"/>
      </w:r>
    </w:p>
    <w:p w:rsidR="006A31AE" w:rsidRPr="006A31AE" w:rsidRDefault="006A31AE" w:rsidP="006A31AE">
      <w:pPr>
        <w:spacing w:after="0" w:line="240" w:lineRule="auto"/>
        <w:rPr>
          <w:rFonts w:ascii="Arial" w:eastAsia="Times New Roman" w:hAnsi="Arial" w:cs="Arial"/>
          <w:b/>
          <w:bCs/>
          <w:color w:val="701471"/>
          <w:sz w:val="32"/>
          <w:szCs w:val="28"/>
          <w:lang w:eastAsia="en-GB"/>
        </w:rPr>
      </w:pPr>
      <w:r w:rsidRPr="006A31AE">
        <w:rPr>
          <w:rFonts w:ascii="Arial" w:eastAsia="Calibri" w:hAnsi="Arial" w:cs="Arial"/>
          <w:noProof/>
          <w:sz w:val="24"/>
          <w:szCs w:val="24"/>
          <w:lang w:eastAsia="en-GB"/>
        </w:rPr>
        <w:lastRenderedPageBreak/>
        <mc:AlternateContent>
          <mc:Choice Requires="wps">
            <w:drawing>
              <wp:anchor distT="0" distB="0" distL="114299" distR="114299" simplePos="0" relativeHeight="251731968" behindDoc="0" locked="0" layoutInCell="1" allowOverlap="1" wp14:anchorId="1CA53160" wp14:editId="0863FEC7">
                <wp:simplePos x="0" y="0"/>
                <wp:positionH relativeFrom="column">
                  <wp:posOffset>4352924</wp:posOffset>
                </wp:positionH>
                <wp:positionV relativeFrom="paragraph">
                  <wp:posOffset>429895</wp:posOffset>
                </wp:positionV>
                <wp:extent cx="0" cy="5048250"/>
                <wp:effectExtent l="0" t="0" r="19050" b="19050"/>
                <wp:wrapNone/>
                <wp:docPr id="2059"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48250"/>
                        </a:xfrm>
                        <a:prstGeom prst="straightConnector1">
                          <a:avLst/>
                        </a:prstGeom>
                        <a:noFill/>
                        <a:ln w="9525">
                          <a:solidFill>
                            <a:sysClr val="window" lastClr="FFFFFF">
                              <a:lumMod val="50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D8DAA3" id="AutoShape 11" o:spid="_x0000_s1026" type="#_x0000_t32" style="position:absolute;margin-left:342.75pt;margin-top:33.85pt;width:0;height:397.5pt;z-index:2517319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" strokecolor="#7f7f7f"/>
            </w:pict>
          </mc:Fallback>
        </mc:AlternateContent>
      </w:r>
      <w:r w:rsidRPr="006A31AE">
        <w:rPr>
          <w:rFonts w:ascii="Arial" w:eastAsia="Times New Roman" w:hAnsi="Arial" w:cs="Arial"/>
          <w:b/>
          <w:bCs/>
          <w:noProof/>
          <w:color w:val="701471"/>
          <w:sz w:val="32"/>
          <w:szCs w:val="28"/>
          <w:lang w:eastAsia="en-GB"/>
        </w:rPr>
        <w:drawing>
          <wp:inline distT="0" distB="0" distL="0" distR="0" wp14:anchorId="7F31D608" wp14:editId="35ECE486">
            <wp:extent cx="944880" cy="693420"/>
            <wp:effectExtent l="0" t="0" r="7620" b="0"/>
            <wp:docPr id="118"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8" cstate="print"/>
                    <a:srcRect/>
                    <a:stretch>
                      <a:fillRect/>
                    </a:stretch>
                  </pic:blipFill>
                  <pic:spPr bwMode="auto">
                    <a:xfrm>
                      <a:off x="0" y="0"/>
                      <a:ext cx="943471" cy="692386"/>
                    </a:xfrm>
                    <a:prstGeom prst="rect">
                      <a:avLst/>
                    </a:prstGeom>
                    <a:noFill/>
                    <a:ln w="9525">
                      <a:noFill/>
                      <a:miter lim="800000"/>
                      <a:headEnd/>
                      <a:tailEnd/>
                    </a:ln>
                    <a:effectLst/>
                  </pic:spPr>
                </pic:pic>
              </a:graphicData>
            </a:graphic>
          </wp:inline>
        </w:drawing>
      </w:r>
      <w:r w:rsidRPr="006A31AE">
        <w:rPr>
          <w:rFonts w:ascii="Arial" w:eastAsia="Times New Roman" w:hAnsi="Arial" w:cs="Arial"/>
          <w:b/>
          <w:bCs/>
          <w:color w:val="701471"/>
          <w:sz w:val="32"/>
          <w:szCs w:val="28"/>
          <w:lang w:eastAsia="en-GB"/>
        </w:rPr>
        <w:t xml:space="preserve"> </w:t>
      </w:r>
      <w:r w:rsidRPr="006A31AE">
        <w:rPr>
          <w:rFonts w:ascii="Arial" w:eastAsia="Times New Roman" w:hAnsi="Arial" w:cs="Arial"/>
          <w:b/>
          <w:bCs/>
          <w:color w:val="701471"/>
          <w:sz w:val="40"/>
          <w:szCs w:val="28"/>
          <w:lang w:eastAsia="en-GB"/>
        </w:rPr>
        <w:t>Community Safety</w:t>
      </w: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ED1257" w:rsidRPr="006A31AE" w:rsidRDefault="00ED1257"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sym w:font="Wingdings" w:char="F0FC"/>
      </w:r>
      <w:r w:rsidRPr="006A31AE">
        <w:rPr>
          <w:rFonts w:ascii="Arial" w:eastAsia="Times New Roman" w:hAnsi="Arial" w:cs="Arial"/>
          <w:b/>
          <w:bCs/>
          <w:color w:val="701471"/>
          <w:sz w:val="28"/>
          <w:szCs w:val="24"/>
          <w:lang w:eastAsia="en-GB"/>
        </w:rPr>
        <w:t xml:space="preserve"> Areas of progress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29920" behindDoc="0" locked="0" layoutInCell="1" allowOverlap="1" wp14:anchorId="5C07A6A5" wp14:editId="2C90EA19">
                <wp:simplePos x="0" y="0"/>
                <wp:positionH relativeFrom="column">
                  <wp:posOffset>1817914</wp:posOffset>
                </wp:positionH>
                <wp:positionV relativeFrom="paragraph">
                  <wp:posOffset>201476</wp:posOffset>
                </wp:positionV>
                <wp:extent cx="2360930" cy="1139553"/>
                <wp:effectExtent l="0" t="0" r="1270" b="3810"/>
                <wp:wrapNone/>
                <wp:docPr id="205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1395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002606" w:rsidRDefault="00721450" w:rsidP="006A31AE">
                            <w:pPr>
                              <w:spacing w:after="0" w:line="240" w:lineRule="auto"/>
                              <w:rPr>
                                <w:rFonts w:eastAsia="Times New Roman"/>
                                <w:bCs/>
                                <w:lang w:eastAsia="en-GB"/>
                              </w:rPr>
                            </w:pPr>
                            <w:r w:rsidRPr="00002606">
                              <w:rPr>
                                <w:rFonts w:eastAsia="Times New Roman"/>
                                <w:bCs/>
                                <w:lang w:eastAsia="en-GB"/>
                              </w:rPr>
                              <w:t>The total number of notifiable offences in Croydon has fallen in recent years and the rate of offences committed in Croydon is lower than the London average.</w:t>
                            </w:r>
                          </w:p>
                          <w:p w:rsidR="00721450" w:rsidRPr="00002606" w:rsidRDefault="00721450" w:rsidP="006A31A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07A6A5" id="Text Box 5" o:spid="_x0000_s1072" type="#_x0000_t202" style="position:absolute;margin-left:143.15pt;margin-top:15.85pt;width:185.9pt;height:89.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" stroked="f">
                <v:textbox>
                  <w:txbxContent>
                    <w:p w:rsidR="00721450" w:rsidRPr="00002606" w:rsidRDefault="00721450" w:rsidP="006A31AE">
                      <w:pPr>
                        <w:spacing w:after="0" w:line="240" w:lineRule="auto"/>
                        <w:rPr>
                          <w:rFonts w:eastAsia="Times New Roman"/>
                          <w:bCs/>
                          <w:lang w:eastAsia="en-GB"/>
                        </w:rPr>
                      </w:pPr>
                      <w:r w:rsidRPr="00002606">
                        <w:rPr>
                          <w:rFonts w:eastAsia="Times New Roman"/>
                          <w:bCs/>
                          <w:lang w:eastAsia="en-GB"/>
                        </w:rPr>
                        <w:t>The total number of notifiable offences in Croydon has fallen in recent years and the rate of offences committed in Croydon is lower than the London average.</w:t>
                      </w:r>
                    </w:p>
                    <w:p w:rsidR="00721450" w:rsidRPr="00002606" w:rsidRDefault="00721450" w:rsidP="006A31AE"/>
                  </w:txbxContent>
                </v:textbox>
              </v:shape>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4E7198F9" wp14:editId="770664C4">
            <wp:extent cx="1642364" cy="1077686"/>
            <wp:effectExtent l="0" t="0" r="0" b="8255"/>
            <wp:docPr id="119" name="Picture 7" descr="TN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NOs.png"/>
                    <pic:cNvPicPr/>
                  </pic:nvPicPr>
                  <pic:blipFill>
                    <a:blip r:embed="rId44" cstate="print"/>
                    <a:stretch>
                      <a:fillRect/>
                    </a:stretch>
                  </pic:blipFill>
                  <pic:spPr>
                    <a:xfrm>
                      <a:off x="0" y="0"/>
                      <a:ext cx="1647885" cy="1081309"/>
                    </a:xfrm>
                    <a:prstGeom prst="rect">
                      <a:avLst/>
                    </a:prstGeom>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noProof/>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728896" behindDoc="0" locked="0" layoutInCell="1" allowOverlap="1" wp14:anchorId="4B54AB03" wp14:editId="0A317D04">
                <wp:simplePos x="0" y="0"/>
                <wp:positionH relativeFrom="column">
                  <wp:posOffset>1817914</wp:posOffset>
                </wp:positionH>
                <wp:positionV relativeFrom="paragraph">
                  <wp:posOffset>200387</wp:posOffset>
                </wp:positionV>
                <wp:extent cx="2371907" cy="964293"/>
                <wp:effectExtent l="0" t="0" r="9525" b="7620"/>
                <wp:wrapNone/>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907" cy="96429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19496D" w:rsidRDefault="00721450" w:rsidP="006A31AE">
                            <w:r w:rsidRPr="0019496D">
                              <w:rPr>
                                <w:rFonts w:eastAsia="Times New Roman"/>
                                <w:bCs/>
                                <w:lang w:eastAsia="en-GB"/>
                              </w:rPr>
                              <w:t>The number of gang flagged offences has decreased but there remains an issue around public perception of this issue.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54AB03" id="_x0000_s1073" type="#_x0000_t202" style="position:absolute;margin-left:143.15pt;margin-top:15.8pt;width:186.75pt;height:75.9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m3EhgIAABg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" stroked="f">
                <v:textbox>
                  <w:txbxContent>
                    <w:p w:rsidR="00721450" w:rsidRPr="0019496D" w:rsidRDefault="00721450" w:rsidP="006A31AE">
                      <w:r w:rsidRPr="0019496D">
                        <w:rPr>
                          <w:rFonts w:eastAsia="Times New Roman"/>
                          <w:bCs/>
                          <w:lang w:eastAsia="en-GB"/>
                        </w:rPr>
                        <w:t>The number of gang flagged offences has decreased but there remains an issue around public perception of this issue.</w:t>
                      </w:r>
                    </w:p>
                  </w:txbxContent>
                </v:textbox>
              </v:shape>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2795BDA6" wp14:editId="36994FD0">
            <wp:extent cx="1545771" cy="662882"/>
            <wp:effectExtent l="0" t="0" r="0" b="4445"/>
            <wp:docPr id="121" name="Picture 2" descr="Ga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ng.png"/>
                    <pic:cNvPicPr/>
                  </pic:nvPicPr>
                  <pic:blipFill>
                    <a:blip r:embed="rId69" cstate="print"/>
                    <a:stretch>
                      <a:fillRect/>
                    </a:stretch>
                  </pic:blipFill>
                  <pic:spPr>
                    <a:xfrm>
                      <a:off x="0" y="0"/>
                      <a:ext cx="1562265" cy="669955"/>
                    </a:xfrm>
                    <a:prstGeom prst="rect">
                      <a:avLst/>
                    </a:prstGeom>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3227AA" w:rsidRPr="006A31AE" w:rsidRDefault="003227AA"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3297B57B" wp14:editId="0119FE23">
            <wp:extent cx="226344" cy="200025"/>
            <wp:effectExtent l="19050" t="0" r="2256" b="0"/>
            <wp:docPr id="122" name="Picture 1" descr="Warni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 2.png"/>
                    <pic:cNvPicPr/>
                  </pic:nvPicPr>
                  <pic:blipFill>
                    <a:blip r:embed="rId36" cstate="print"/>
                    <a:stretch>
                      <a:fillRect/>
                    </a:stretch>
                  </pic:blipFill>
                  <pic:spPr>
                    <a:xfrm>
                      <a:off x="0" y="0"/>
                      <a:ext cx="226645" cy="200291"/>
                    </a:xfrm>
                    <a:prstGeom prst="rect">
                      <a:avLst/>
                    </a:prstGeom>
                  </pic:spPr>
                </pic:pic>
              </a:graphicData>
            </a:graphic>
          </wp:inline>
        </w:drawing>
      </w:r>
      <w:r w:rsidRPr="006A31AE">
        <w:rPr>
          <w:rFonts w:ascii="Arial" w:eastAsia="Times New Roman" w:hAnsi="Arial" w:cs="Arial"/>
          <w:b/>
          <w:bCs/>
          <w:color w:val="701471"/>
          <w:sz w:val="28"/>
          <w:szCs w:val="24"/>
          <w:lang w:eastAsia="en-GB"/>
        </w:rPr>
        <w:t xml:space="preserve"> Challenges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80797E" w:rsidRDefault="006A31AE" w:rsidP="006A31AE">
      <w:pPr>
        <w:spacing w:after="0" w:line="240" w:lineRule="auto"/>
        <w:outlineLvl w:val="0"/>
        <w:rPr>
          <w:rFonts w:ascii="Arial" w:eastAsia="Times New Roman" w:hAnsi="Arial" w:cs="Arial"/>
          <w:b/>
          <w:bCs/>
          <w:sz w:val="20"/>
          <w:szCs w:val="20"/>
          <w:lang w:eastAsia="en-GB"/>
        </w:rPr>
      </w:pPr>
    </w:p>
    <w:p w:rsidR="006A31AE" w:rsidRPr="0080797E" w:rsidRDefault="0037758F" w:rsidP="006A31AE">
      <w:pPr>
        <w:spacing w:after="0" w:line="240" w:lineRule="auto"/>
        <w:outlineLvl w:val="0"/>
        <w:rPr>
          <w:rFonts w:ascii="Arial" w:eastAsia="Times New Roman" w:hAnsi="Arial" w:cs="Arial"/>
          <w:b/>
          <w:bCs/>
          <w:sz w:val="20"/>
          <w:szCs w:val="20"/>
          <w:lang w:eastAsia="en-GB"/>
        </w:rPr>
      </w:pPr>
      <w:r w:rsidRPr="00E40725">
        <w:rPr>
          <w:rFonts w:ascii="Arial" w:eastAsia="Times New Roman" w:hAnsi="Arial" w:cs="Arial"/>
          <w:b/>
          <w:bCs/>
          <w:noProof/>
          <w:color w:val="701471"/>
          <w:sz w:val="28"/>
          <w:szCs w:val="24"/>
          <w:lang w:eastAsia="en-GB"/>
        </w:rPr>
        <w:drawing>
          <wp:anchor distT="0" distB="0" distL="114300" distR="114300" simplePos="0" relativeHeight="251751424" behindDoc="0" locked="0" layoutInCell="1" allowOverlap="1">
            <wp:simplePos x="0" y="0"/>
            <wp:positionH relativeFrom="column">
              <wp:posOffset>13335</wp:posOffset>
            </wp:positionH>
            <wp:positionV relativeFrom="paragraph">
              <wp:posOffset>27305</wp:posOffset>
            </wp:positionV>
            <wp:extent cx="925195" cy="1057910"/>
            <wp:effectExtent l="0" t="0" r="8255" b="8890"/>
            <wp:wrapSquare wrapText="bothSides"/>
            <wp:docPr id="75" name="Picture 75" descr="C:\Users\281609\Desktop\kni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281609\Desktop\knife.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28713"/>
                    <a:stretch/>
                  </pic:blipFill>
                  <pic:spPr bwMode="auto">
                    <a:xfrm>
                      <a:off x="0" y="0"/>
                      <a:ext cx="925195" cy="1057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A31AE" w:rsidRPr="00EE0752" w:rsidRDefault="0037758F" w:rsidP="006A31AE">
      <w:pPr>
        <w:spacing w:after="0" w:line="240" w:lineRule="auto"/>
        <w:outlineLvl w:val="0"/>
        <w:rPr>
          <w:rFonts w:ascii="Arial" w:eastAsia="Times New Roman" w:hAnsi="Arial" w:cs="Arial"/>
          <w:b/>
          <w:bCs/>
          <w:sz w:val="20"/>
          <w:szCs w:val="20"/>
          <w:lang w:eastAsia="en-GB"/>
        </w:rPr>
      </w:pPr>
      <w:r w:rsidRPr="0080797E">
        <w:rPr>
          <w:rFonts w:ascii="Arial" w:eastAsia="Times New Roman" w:hAnsi="Arial" w:cs="Arial"/>
          <w:b/>
          <w:bCs/>
          <w:noProof/>
          <w:sz w:val="20"/>
          <w:szCs w:val="20"/>
          <w:lang w:eastAsia="en-GB"/>
        </w:rPr>
        <mc:AlternateContent>
          <mc:Choice Requires="wps">
            <w:drawing>
              <wp:anchor distT="0" distB="0" distL="114300" distR="114300" simplePos="0" relativeHeight="251730944" behindDoc="0" locked="0" layoutInCell="1" allowOverlap="1" wp14:anchorId="5D373F02" wp14:editId="2B7915B5">
                <wp:simplePos x="0" y="0"/>
                <wp:positionH relativeFrom="column">
                  <wp:posOffset>1377225</wp:posOffset>
                </wp:positionH>
                <wp:positionV relativeFrom="paragraph">
                  <wp:posOffset>111397</wp:posOffset>
                </wp:positionV>
                <wp:extent cx="2600960" cy="568960"/>
                <wp:effectExtent l="0" t="0" r="8890" b="2540"/>
                <wp:wrapNone/>
                <wp:docPr id="6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960" cy="5689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Default="00721450" w:rsidP="009D7550">
                            <w:pPr>
                              <w:rPr>
                                <w:rFonts w:eastAsia="Times New Roman"/>
                                <w:bCs/>
                                <w:lang w:eastAsia="en-GB"/>
                              </w:rPr>
                            </w:pPr>
                            <w:r w:rsidRPr="009D7550">
                              <w:rPr>
                                <w:rFonts w:eastAsia="Times New Roman"/>
                                <w:bCs/>
                                <w:lang w:eastAsia="en-GB"/>
                              </w:rPr>
                              <w:t>Knife crime is still an issue with around 30% resulting in injury or death.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373F02" id="Text Box 6" o:spid="_x0000_s1074" type="#_x0000_t202" style="position:absolute;margin-left:108.45pt;margin-top:8.75pt;width:204.8pt;height:44.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" stroked="f">
                <v:textbox>
                  <w:txbxContent>
                    <w:p w:rsidR="00721450" w:rsidRDefault="00721450" w:rsidP="009D7550">
                      <w:pPr>
                        <w:rPr>
                          <w:rFonts w:eastAsia="Times New Roman"/>
                          <w:bCs/>
                          <w:lang w:eastAsia="en-GB"/>
                        </w:rPr>
                      </w:pPr>
                      <w:r w:rsidRPr="009D7550">
                        <w:rPr>
                          <w:rFonts w:eastAsia="Times New Roman"/>
                          <w:bCs/>
                          <w:lang w:eastAsia="en-GB"/>
                        </w:rPr>
                        <w:t>Knife crime is still an issue with around 30% resulting in injury or death.</w:t>
                      </w:r>
                    </w:p>
                  </w:txbxContent>
                </v:textbox>
              </v:shape>
            </w:pict>
          </mc:Fallback>
        </mc:AlternateContent>
      </w:r>
    </w:p>
    <w:p w:rsidR="009D7550" w:rsidRPr="00EE0752" w:rsidRDefault="009D7550" w:rsidP="006A31AE">
      <w:pPr>
        <w:spacing w:after="0" w:line="240" w:lineRule="auto"/>
        <w:outlineLvl w:val="0"/>
        <w:rPr>
          <w:rFonts w:ascii="Arial" w:eastAsia="Times New Roman" w:hAnsi="Arial" w:cs="Arial"/>
          <w:b/>
          <w:bCs/>
          <w:sz w:val="24"/>
          <w:szCs w:val="24"/>
          <w:lang w:eastAsia="en-GB"/>
        </w:rPr>
      </w:pPr>
    </w:p>
    <w:p w:rsidR="00EE0752" w:rsidRPr="00EE0752" w:rsidRDefault="00EE0752" w:rsidP="006A31AE">
      <w:pPr>
        <w:spacing w:after="0" w:line="240" w:lineRule="auto"/>
        <w:outlineLvl w:val="0"/>
        <w:rPr>
          <w:rFonts w:ascii="Arial" w:eastAsia="Times New Roman" w:hAnsi="Arial" w:cs="Arial"/>
          <w:b/>
          <w:bCs/>
          <w:sz w:val="24"/>
          <w:szCs w:val="24"/>
          <w:lang w:eastAsia="en-GB"/>
        </w:rPr>
      </w:pPr>
    </w:p>
    <w:p w:rsidR="00EE0752" w:rsidRPr="00EE0752" w:rsidRDefault="00EE0752" w:rsidP="006A31AE">
      <w:pPr>
        <w:spacing w:after="0" w:line="240" w:lineRule="auto"/>
        <w:outlineLvl w:val="0"/>
        <w:rPr>
          <w:rFonts w:ascii="Arial" w:eastAsia="Times New Roman" w:hAnsi="Arial" w:cs="Arial"/>
          <w:b/>
          <w:bCs/>
          <w:sz w:val="24"/>
          <w:szCs w:val="24"/>
          <w:lang w:eastAsia="en-GB"/>
        </w:rPr>
      </w:pPr>
    </w:p>
    <w:p w:rsidR="00EE0752" w:rsidRPr="00EE0752" w:rsidRDefault="00EE0752" w:rsidP="006A31AE">
      <w:pPr>
        <w:spacing w:after="0" w:line="240" w:lineRule="auto"/>
        <w:outlineLvl w:val="0"/>
        <w:rPr>
          <w:rFonts w:ascii="Arial" w:eastAsia="Times New Roman" w:hAnsi="Arial" w:cs="Arial"/>
          <w:b/>
          <w:bCs/>
          <w:sz w:val="24"/>
          <w:szCs w:val="24"/>
          <w:lang w:eastAsia="en-GB"/>
        </w:rPr>
      </w:pPr>
    </w:p>
    <w:p w:rsidR="00EE0752" w:rsidRDefault="00EE0752" w:rsidP="006A31AE">
      <w:pPr>
        <w:spacing w:after="0" w:line="240" w:lineRule="auto"/>
        <w:outlineLvl w:val="0"/>
        <w:rPr>
          <w:rFonts w:ascii="Arial" w:eastAsia="Times New Roman" w:hAnsi="Arial" w:cs="Arial"/>
          <w:b/>
          <w:bCs/>
          <w:sz w:val="24"/>
          <w:szCs w:val="24"/>
          <w:lang w:eastAsia="en-GB"/>
        </w:rPr>
      </w:pPr>
    </w:p>
    <w:p w:rsidR="0037758F" w:rsidRDefault="0037758F" w:rsidP="006A31AE">
      <w:pPr>
        <w:spacing w:after="0" w:line="240" w:lineRule="auto"/>
        <w:outlineLvl w:val="0"/>
        <w:rPr>
          <w:rFonts w:ascii="Arial" w:eastAsia="Times New Roman" w:hAnsi="Arial" w:cs="Arial"/>
          <w:b/>
          <w:bCs/>
          <w:sz w:val="24"/>
          <w:szCs w:val="24"/>
          <w:lang w:eastAsia="en-GB"/>
        </w:rPr>
      </w:pPr>
    </w:p>
    <w:p w:rsidR="003227AA" w:rsidRPr="00EE0752" w:rsidRDefault="003227AA" w:rsidP="006A31AE">
      <w:pPr>
        <w:spacing w:after="0" w:line="240" w:lineRule="auto"/>
        <w:outlineLvl w:val="0"/>
        <w:rPr>
          <w:rFonts w:ascii="Arial" w:eastAsia="Times New Roman" w:hAnsi="Arial" w:cs="Arial"/>
          <w:b/>
          <w:bCs/>
          <w:sz w:val="24"/>
          <w:szCs w:val="24"/>
          <w:lang w:eastAsia="en-GB"/>
        </w:rPr>
      </w:pPr>
    </w:p>
    <w:p w:rsidR="009D7550" w:rsidRPr="00EE0752" w:rsidRDefault="003227AA" w:rsidP="006A31AE">
      <w:pPr>
        <w:spacing w:after="0" w:line="240" w:lineRule="auto"/>
        <w:outlineLvl w:val="0"/>
        <w:rPr>
          <w:rFonts w:ascii="Arial" w:eastAsia="Times New Roman" w:hAnsi="Arial" w:cs="Arial"/>
          <w:b/>
          <w:bCs/>
          <w:sz w:val="20"/>
          <w:szCs w:val="20"/>
          <w:lang w:eastAsia="en-GB"/>
        </w:rPr>
      </w:pPr>
      <w:r w:rsidRPr="006A31AE">
        <w:rPr>
          <w:rFonts w:ascii="Arial" w:eastAsia="Times New Roman" w:hAnsi="Arial" w:cs="Arial"/>
          <w:b/>
          <w:bCs/>
          <w:noProof/>
          <w:color w:val="701471"/>
          <w:sz w:val="28"/>
          <w:szCs w:val="24"/>
          <w:lang w:eastAsia="en-GB"/>
        </w:rPr>
        <w:drawing>
          <wp:anchor distT="0" distB="0" distL="114300" distR="114300" simplePos="0" relativeHeight="251752448" behindDoc="0" locked="0" layoutInCell="1" allowOverlap="0">
            <wp:simplePos x="0" y="0"/>
            <wp:positionH relativeFrom="column">
              <wp:posOffset>261347</wp:posOffset>
            </wp:positionH>
            <wp:positionV relativeFrom="paragraph">
              <wp:posOffset>12790</wp:posOffset>
            </wp:positionV>
            <wp:extent cx="547200" cy="1000800"/>
            <wp:effectExtent l="0" t="0" r="5715" b="0"/>
            <wp:wrapSquare wrapText="bothSides"/>
            <wp:docPr id="123" name="Picture 5" descr="Injured m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jured man.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7200" cy="1000800"/>
                    </a:xfrm>
                    <a:prstGeom prst="rect">
                      <a:avLst/>
                    </a:prstGeom>
                  </pic:spPr>
                </pic:pic>
              </a:graphicData>
            </a:graphic>
            <wp14:sizeRelH relativeFrom="margin">
              <wp14:pctWidth>0</wp14:pctWidth>
            </wp14:sizeRelH>
            <wp14:sizeRelV relativeFrom="margin">
              <wp14:pctHeight>0</wp14:pctHeight>
            </wp14:sizeRelV>
          </wp:anchor>
        </w:drawing>
      </w:r>
    </w:p>
    <w:p w:rsidR="006A31AE" w:rsidRPr="00EE0752" w:rsidRDefault="00277CF4" w:rsidP="006A31AE">
      <w:pPr>
        <w:spacing w:after="0" w:line="240" w:lineRule="auto"/>
        <w:outlineLvl w:val="0"/>
        <w:rPr>
          <w:rFonts w:ascii="Arial" w:eastAsia="Times New Roman" w:hAnsi="Arial" w:cs="Arial"/>
          <w:b/>
          <w:bCs/>
          <w:sz w:val="20"/>
          <w:szCs w:val="20"/>
          <w:lang w:eastAsia="en-GB"/>
        </w:rPr>
      </w:pPr>
      <w:r w:rsidRPr="00EE0752">
        <w:rPr>
          <w:rFonts w:ascii="Arial" w:eastAsia="Times New Roman" w:hAnsi="Arial" w:cs="Arial"/>
          <w:b/>
          <w:bCs/>
          <w:noProof/>
          <w:sz w:val="96"/>
          <w:szCs w:val="96"/>
          <w:lang w:eastAsia="en-GB"/>
        </w:rPr>
        <mc:AlternateContent>
          <mc:Choice Requires="wps">
            <w:drawing>
              <wp:anchor distT="0" distB="0" distL="114300" distR="114300" simplePos="0" relativeHeight="251750400" behindDoc="0" locked="0" layoutInCell="1" allowOverlap="1">
                <wp:simplePos x="0" y="0"/>
                <wp:positionH relativeFrom="column">
                  <wp:posOffset>1374231</wp:posOffset>
                </wp:positionH>
                <wp:positionV relativeFrom="paragraph">
                  <wp:posOffset>55971</wp:posOffset>
                </wp:positionV>
                <wp:extent cx="2387600" cy="581660"/>
                <wp:effectExtent l="0" t="0" r="0" b="8890"/>
                <wp:wrapNone/>
                <wp:docPr id="63" name="Text Box 63"/>
                <wp:cNvGraphicFramePr/>
                <a:graphic xmlns:a="http://schemas.openxmlformats.org/drawingml/2006/main">
                  <a:graphicData uri="http://schemas.microsoft.com/office/word/2010/wordprocessingShape">
                    <wps:wsp>
                      <wps:cNvSpPr txBox="1"/>
                      <wps:spPr>
                        <a:xfrm>
                          <a:off x="0" y="0"/>
                          <a:ext cx="2387600" cy="5816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21450" w:rsidRPr="00E40725" w:rsidRDefault="00721450" w:rsidP="00E40725">
                            <w:pPr>
                              <w:spacing w:after="0" w:line="240" w:lineRule="auto"/>
                              <w:jc w:val="both"/>
                              <w:rPr>
                                <w:rFonts w:eastAsia="Times New Roman"/>
                                <w:bCs/>
                                <w:lang w:eastAsia="en-GB"/>
                              </w:rPr>
                            </w:pPr>
                            <w:r>
                              <w:rPr>
                                <w:rFonts w:eastAsia="Times New Roman"/>
                                <w:bCs/>
                                <w:lang w:eastAsia="en-GB"/>
                              </w:rPr>
                              <w:t xml:space="preserve">The </w:t>
                            </w:r>
                            <w:r w:rsidRPr="00E40725">
                              <w:rPr>
                                <w:rFonts w:eastAsia="Times New Roman"/>
                                <w:bCs/>
                                <w:lang w:eastAsia="en-GB"/>
                              </w:rPr>
                              <w:t>number of victims of serious youth violence is increasing.</w:t>
                            </w:r>
                          </w:p>
                          <w:p w:rsidR="00721450" w:rsidRPr="009D7550" w:rsidRDefault="00721450" w:rsidP="009D7550">
                            <w:pPr>
                              <w:jc w:val="center"/>
                              <w:rPr>
                                <w:rFonts w:eastAsia="Times New Roman"/>
                                <w:bCs/>
                                <w:lang w:eastAsia="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margin-left:108.2pt;margin-top:4.4pt;width:188pt;height:45.8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" fillcolor="white [3201]" stroked="f" strokeweight=".5pt">
                <v:textbox>
                  <w:txbxContent>
                    <w:p w:rsidR="00721450" w:rsidRPr="00E40725" w:rsidRDefault="00721450" w:rsidP="00E40725">
                      <w:pPr>
                        <w:spacing w:after="0" w:line="240" w:lineRule="auto"/>
                        <w:jc w:val="both"/>
                        <w:rPr>
                          <w:rFonts w:eastAsia="Times New Roman"/>
                          <w:bCs/>
                          <w:lang w:eastAsia="en-GB"/>
                        </w:rPr>
                      </w:pPr>
                      <w:r>
                        <w:rPr>
                          <w:rFonts w:eastAsia="Times New Roman"/>
                          <w:bCs/>
                          <w:lang w:eastAsia="en-GB"/>
                        </w:rPr>
                        <w:t xml:space="preserve">The </w:t>
                      </w:r>
                      <w:r w:rsidRPr="00E40725">
                        <w:rPr>
                          <w:rFonts w:eastAsia="Times New Roman"/>
                          <w:bCs/>
                          <w:lang w:eastAsia="en-GB"/>
                        </w:rPr>
                        <w:t>number of victims of serious youth violence is increasing.</w:t>
                      </w:r>
                    </w:p>
                    <w:p w:rsidR="00721450" w:rsidRPr="009D7550" w:rsidRDefault="00721450" w:rsidP="009D7550">
                      <w:pPr>
                        <w:jc w:val="center"/>
                        <w:rPr>
                          <w:rFonts w:eastAsia="Times New Roman"/>
                          <w:bCs/>
                          <w:lang w:eastAsia="en-GB"/>
                        </w:rPr>
                      </w:pPr>
                    </w:p>
                  </w:txbxContent>
                </v:textbox>
              </v:shape>
            </w:pict>
          </mc:Fallback>
        </mc:AlternateContent>
      </w:r>
    </w:p>
    <w:p w:rsidR="009D7550" w:rsidRDefault="009D7550" w:rsidP="006A31AE">
      <w:pPr>
        <w:spacing w:after="0" w:line="240" w:lineRule="auto"/>
        <w:outlineLvl w:val="0"/>
        <w:rPr>
          <w:rFonts w:ascii="Arial" w:eastAsia="Times New Roman" w:hAnsi="Arial" w:cs="Arial"/>
          <w:b/>
          <w:bCs/>
          <w:sz w:val="20"/>
          <w:szCs w:val="20"/>
          <w:lang w:eastAsia="en-GB"/>
        </w:rPr>
      </w:pPr>
    </w:p>
    <w:p w:rsidR="009C11F5" w:rsidRDefault="009C11F5" w:rsidP="006A31AE">
      <w:pPr>
        <w:spacing w:after="0" w:line="240" w:lineRule="auto"/>
        <w:outlineLvl w:val="0"/>
        <w:rPr>
          <w:rFonts w:ascii="Arial" w:eastAsia="Times New Roman" w:hAnsi="Arial" w:cs="Arial"/>
          <w:b/>
          <w:bCs/>
          <w:sz w:val="20"/>
          <w:szCs w:val="20"/>
          <w:lang w:eastAsia="en-GB"/>
        </w:rPr>
      </w:pPr>
    </w:p>
    <w:p w:rsidR="009C11F5" w:rsidRPr="00EE0752" w:rsidRDefault="009C11F5" w:rsidP="006A31AE">
      <w:pPr>
        <w:spacing w:after="0" w:line="240" w:lineRule="auto"/>
        <w:outlineLvl w:val="0"/>
        <w:rPr>
          <w:rFonts w:ascii="Arial" w:eastAsia="Times New Roman" w:hAnsi="Arial" w:cs="Arial"/>
          <w:b/>
          <w:bCs/>
          <w:sz w:val="20"/>
          <w:szCs w:val="20"/>
          <w:lang w:eastAsia="en-GB"/>
        </w:rPr>
      </w:pPr>
    </w:p>
    <w:p w:rsidR="00654D63" w:rsidRDefault="00654D63" w:rsidP="006A31AE">
      <w:pPr>
        <w:spacing w:after="0" w:line="240" w:lineRule="auto"/>
        <w:outlineLvl w:val="0"/>
        <w:rPr>
          <w:rFonts w:ascii="Arial" w:eastAsia="Times New Roman" w:hAnsi="Arial" w:cs="Arial"/>
          <w:b/>
          <w:bCs/>
          <w:sz w:val="20"/>
          <w:szCs w:val="20"/>
          <w:lang w:eastAsia="en-GB"/>
        </w:rPr>
      </w:pPr>
    </w:p>
    <w:p w:rsidR="003227AA" w:rsidRDefault="003227AA" w:rsidP="006A31AE">
      <w:pPr>
        <w:spacing w:after="0" w:line="240" w:lineRule="auto"/>
        <w:outlineLvl w:val="0"/>
        <w:rPr>
          <w:rFonts w:ascii="Arial" w:eastAsia="Times New Roman" w:hAnsi="Arial" w:cs="Arial"/>
          <w:b/>
          <w:bCs/>
          <w:sz w:val="20"/>
          <w:szCs w:val="20"/>
          <w:lang w:eastAsia="en-GB"/>
        </w:rPr>
      </w:pPr>
    </w:p>
    <w:p w:rsidR="003227AA" w:rsidRDefault="003227AA" w:rsidP="006A31AE">
      <w:pPr>
        <w:spacing w:after="0" w:line="240" w:lineRule="auto"/>
        <w:outlineLvl w:val="0"/>
        <w:rPr>
          <w:rFonts w:ascii="Arial" w:eastAsia="Times New Roman" w:hAnsi="Arial" w:cs="Arial"/>
          <w:b/>
          <w:bCs/>
          <w:sz w:val="20"/>
          <w:szCs w:val="20"/>
          <w:lang w:eastAsia="en-GB"/>
        </w:rPr>
      </w:pPr>
    </w:p>
    <w:p w:rsidR="003227AA" w:rsidRDefault="003227AA" w:rsidP="006A31AE">
      <w:pPr>
        <w:spacing w:after="0" w:line="240" w:lineRule="auto"/>
        <w:outlineLvl w:val="0"/>
        <w:rPr>
          <w:rFonts w:ascii="Arial" w:eastAsia="Times New Roman" w:hAnsi="Arial" w:cs="Arial"/>
          <w:b/>
          <w:bCs/>
          <w:sz w:val="20"/>
          <w:szCs w:val="20"/>
          <w:lang w:eastAsia="en-GB"/>
        </w:rPr>
      </w:pPr>
    </w:p>
    <w:p w:rsidR="003227AA" w:rsidRDefault="003227AA" w:rsidP="006A31AE">
      <w:pPr>
        <w:spacing w:after="0" w:line="240" w:lineRule="auto"/>
        <w:outlineLvl w:val="0"/>
        <w:rPr>
          <w:rFonts w:ascii="Arial" w:eastAsia="Times New Roman" w:hAnsi="Arial" w:cs="Arial"/>
          <w:b/>
          <w:bCs/>
          <w:sz w:val="20"/>
          <w:szCs w:val="20"/>
          <w:lang w:eastAsia="en-GB"/>
        </w:rPr>
      </w:pPr>
    </w:p>
    <w:p w:rsidR="003227AA" w:rsidRDefault="003227AA" w:rsidP="006A31AE">
      <w:pPr>
        <w:spacing w:after="0" w:line="240" w:lineRule="auto"/>
        <w:outlineLvl w:val="0"/>
        <w:rPr>
          <w:rFonts w:ascii="Arial" w:eastAsia="Times New Roman" w:hAnsi="Arial" w:cs="Arial"/>
          <w:b/>
          <w:bCs/>
          <w:sz w:val="20"/>
          <w:szCs w:val="20"/>
          <w:lang w:eastAsia="en-GB"/>
        </w:rPr>
      </w:pPr>
    </w:p>
    <w:p w:rsidR="003227AA" w:rsidRPr="00EE0752" w:rsidRDefault="003227AA" w:rsidP="006A31AE">
      <w:pPr>
        <w:spacing w:after="0" w:line="240" w:lineRule="auto"/>
        <w:outlineLvl w:val="0"/>
        <w:rPr>
          <w:rFonts w:ascii="Arial" w:eastAsia="Times New Roman" w:hAnsi="Arial" w:cs="Arial"/>
          <w:b/>
          <w:bCs/>
          <w:sz w:val="20"/>
          <w:szCs w:val="20"/>
          <w:lang w:eastAsia="en-GB"/>
        </w:rPr>
      </w:pPr>
    </w:p>
    <w:p w:rsidR="00654D63" w:rsidRPr="00EE0752" w:rsidRDefault="00654D63">
      <w:pPr>
        <w:rPr>
          <w:rFonts w:ascii="Arial" w:eastAsia="Times New Roman" w:hAnsi="Arial" w:cs="Arial"/>
          <w:b/>
          <w:bCs/>
          <w:sz w:val="20"/>
          <w:szCs w:val="20"/>
          <w:lang w:eastAsia="en-GB"/>
        </w:rPr>
      </w:pPr>
      <w:r w:rsidRPr="00EE0752">
        <w:rPr>
          <w:rFonts w:ascii="Arial" w:eastAsia="Times New Roman" w:hAnsi="Arial" w:cs="Arial"/>
          <w:b/>
          <w:bCs/>
          <w:sz w:val="20"/>
          <w:szCs w:val="20"/>
          <w:lang w:eastAsia="en-GB"/>
        </w:rPr>
        <w:br w:type="page"/>
      </w:r>
    </w:p>
    <w:p w:rsidR="006A31AE" w:rsidRPr="00ED1257" w:rsidRDefault="006A31AE" w:rsidP="006A31AE">
      <w:pPr>
        <w:rPr>
          <w:rFonts w:ascii="Arial" w:eastAsia="Calibri" w:hAnsi="Arial" w:cs="Arial"/>
          <w:color w:val="92D050"/>
        </w:rPr>
      </w:pPr>
      <w:r w:rsidRPr="006A31AE">
        <w:rPr>
          <w:rFonts w:ascii="Arial" w:eastAsia="Times New Roman" w:hAnsi="Arial" w:cs="Arial"/>
          <w:b/>
          <w:bCs/>
          <w:noProof/>
          <w:color w:val="701471"/>
          <w:sz w:val="32"/>
          <w:szCs w:val="28"/>
          <w:lang w:eastAsia="en-GB"/>
        </w:rPr>
        <w:lastRenderedPageBreak/>
        <w:drawing>
          <wp:inline distT="0" distB="0" distL="0" distR="0" wp14:anchorId="6BE6BD8D" wp14:editId="0E02ADE1">
            <wp:extent cx="731520" cy="684447"/>
            <wp:effectExtent l="0" t="0" r="0" b="1905"/>
            <wp:docPr id="83"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2" cstate="print"/>
                    <a:stretch>
                      <a:fillRect/>
                    </a:stretch>
                  </pic:blipFill>
                  <pic:spPr bwMode="auto">
                    <a:xfrm>
                      <a:off x="0" y="0"/>
                      <a:ext cx="738449" cy="690930"/>
                    </a:xfrm>
                    <a:prstGeom prst="rect">
                      <a:avLst/>
                    </a:prstGeom>
                    <a:noFill/>
                    <a:ln w="9525">
                      <a:noFill/>
                      <a:miter lim="800000"/>
                      <a:headEnd/>
                      <a:tailEnd/>
                    </a:ln>
                    <a:effectLst/>
                  </pic:spPr>
                </pic:pic>
              </a:graphicData>
            </a:graphic>
          </wp:inline>
        </w:drawing>
      </w:r>
      <w:r w:rsidRPr="006A31AE">
        <w:rPr>
          <w:rFonts w:ascii="Arial" w:eastAsia="Times New Roman" w:hAnsi="Arial" w:cs="Arial"/>
          <w:b/>
          <w:bCs/>
          <w:color w:val="701471"/>
          <w:sz w:val="32"/>
          <w:szCs w:val="28"/>
          <w:lang w:eastAsia="en-GB"/>
        </w:rPr>
        <w:t xml:space="preserve"> </w:t>
      </w:r>
      <w:r w:rsidRPr="006A31AE">
        <w:rPr>
          <w:rFonts w:ascii="Arial" w:eastAsia="Times New Roman" w:hAnsi="Arial" w:cs="Arial"/>
          <w:b/>
          <w:bCs/>
          <w:color w:val="701471"/>
          <w:sz w:val="40"/>
          <w:szCs w:val="28"/>
          <w:lang w:eastAsia="en-GB"/>
        </w:rPr>
        <w:t>Environment and transport</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299" distR="114299" simplePos="0" relativeHeight="251691008" behindDoc="0" locked="0" layoutInCell="1" allowOverlap="1" wp14:anchorId="17D55AB2" wp14:editId="6F051CDA">
                <wp:simplePos x="0" y="0"/>
                <wp:positionH relativeFrom="column">
                  <wp:posOffset>4352924</wp:posOffset>
                </wp:positionH>
                <wp:positionV relativeFrom="paragraph">
                  <wp:posOffset>79375</wp:posOffset>
                </wp:positionV>
                <wp:extent cx="0" cy="5048250"/>
                <wp:effectExtent l="0" t="0" r="19050" b="19050"/>
                <wp:wrapNone/>
                <wp:docPr id="67" name="AutoShap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048250"/>
                        </a:xfrm>
                        <a:prstGeom prst="straightConnector1">
                          <a:avLst/>
                        </a:prstGeom>
                        <a:noFill/>
                        <a:ln w="9525">
                          <a:solidFill>
                            <a:sysClr val="window" lastClr="FFFFFF">
                              <a:lumMod val="50000"/>
                              <a:lumOff val="0"/>
                            </a:sys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C6DAACF" id="AutoShape 87" o:spid="_x0000_s1026" type="#_x0000_t32" style="position:absolute;margin-left:342.75pt;margin-top:6.25pt;width:0;height:397.5pt;z-index:2516910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" strokecolor="#7f7f7f"/>
            </w:pict>
          </mc:Fallback>
        </mc:AlternateConten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sym w:font="Wingdings" w:char="F0FC"/>
      </w:r>
      <w:r w:rsidRPr="006A31AE">
        <w:rPr>
          <w:rFonts w:ascii="Arial" w:eastAsia="Times New Roman" w:hAnsi="Arial" w:cs="Arial"/>
          <w:b/>
          <w:bCs/>
          <w:color w:val="701471"/>
          <w:sz w:val="28"/>
          <w:szCs w:val="24"/>
          <w:lang w:eastAsia="en-GB"/>
        </w:rPr>
        <w:t xml:space="preserve"> Areas of progress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ind w:left="567"/>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687936" behindDoc="0" locked="0" layoutInCell="1" allowOverlap="1" wp14:anchorId="3230CE42" wp14:editId="15658595">
                <wp:simplePos x="0" y="0"/>
                <wp:positionH relativeFrom="column">
                  <wp:posOffset>2045335</wp:posOffset>
                </wp:positionH>
                <wp:positionV relativeFrom="paragraph">
                  <wp:posOffset>269875</wp:posOffset>
                </wp:positionV>
                <wp:extent cx="2080260" cy="472440"/>
                <wp:effectExtent l="0" t="0" r="0" b="3810"/>
                <wp:wrapNone/>
                <wp:docPr id="66"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0260" cy="472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0F55A9" w:rsidRDefault="00721450" w:rsidP="006A31AE">
                            <w:pPr>
                              <w:spacing w:line="240" w:lineRule="auto"/>
                              <w:rPr>
                                <w:rFonts w:eastAsia="Times New Roman"/>
                                <w:bCs/>
                                <w:lang w:eastAsia="en-GB"/>
                              </w:rPr>
                            </w:pPr>
                            <w:r w:rsidRPr="000F55A9">
                              <w:rPr>
                                <w:rFonts w:eastAsia="Times New Roman"/>
                                <w:bCs/>
                                <w:lang w:eastAsia="en-GB"/>
                              </w:rPr>
                              <w:t>Carbon dioxide emissions continue to fall.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230CE42" id="Text Box 81" o:spid="_x0000_s1076" type="#_x0000_t202" style="position:absolute;left:0;text-align:left;margin-left:161.05pt;margin-top:21.25pt;width:163.8pt;height:37.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" stroked="f">
                <v:textbox>
                  <w:txbxContent>
                    <w:p w:rsidR="00721450" w:rsidRPr="000F55A9" w:rsidRDefault="00721450" w:rsidP="006A31AE">
                      <w:pPr>
                        <w:spacing w:line="240" w:lineRule="auto"/>
                        <w:rPr>
                          <w:rFonts w:eastAsia="Times New Roman"/>
                          <w:bCs/>
                          <w:lang w:eastAsia="en-GB"/>
                        </w:rPr>
                      </w:pPr>
                      <w:r w:rsidRPr="000F55A9">
                        <w:rPr>
                          <w:rFonts w:eastAsia="Times New Roman"/>
                          <w:bCs/>
                          <w:lang w:eastAsia="en-GB"/>
                        </w:rPr>
                        <w:t>Carbon dioxide emissions continue to fall.</w:t>
                      </w:r>
                    </w:p>
                  </w:txbxContent>
                </v:textbox>
              </v:shape>
            </w:pict>
          </mc:Fallback>
        </mc:AlternateContent>
      </w:r>
      <w:r w:rsidRPr="006A31AE">
        <w:rPr>
          <w:rFonts w:ascii="Arial" w:eastAsia="Times New Roman" w:hAnsi="Arial" w:cs="Arial"/>
          <w:b/>
          <w:bCs/>
          <w:noProof/>
          <w:color w:val="701471"/>
          <w:sz w:val="28"/>
          <w:szCs w:val="24"/>
          <w:lang w:eastAsia="en-GB"/>
        </w:rPr>
        <w:drawing>
          <wp:inline distT="0" distB="0" distL="0" distR="0" wp14:anchorId="72C2632B" wp14:editId="266351BF">
            <wp:extent cx="1067380" cy="924560"/>
            <wp:effectExtent l="0" t="0" r="0" b="8890"/>
            <wp:docPr id="84" name="Picture 99" descr="Pollu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llution.png"/>
                    <pic:cNvPicPr/>
                  </pic:nvPicPr>
                  <pic:blipFill>
                    <a:blip r:embed="rId73" cstate="print"/>
                    <a:stretch>
                      <a:fillRect/>
                    </a:stretch>
                  </pic:blipFill>
                  <pic:spPr>
                    <a:xfrm>
                      <a:off x="0" y="0"/>
                      <a:ext cx="1074110" cy="930389"/>
                    </a:xfrm>
                    <a:prstGeom prst="rect">
                      <a:avLst/>
                    </a:prstGeom>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ind w:left="567"/>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686912" behindDoc="0" locked="0" layoutInCell="1" allowOverlap="1" wp14:anchorId="4B43E03B" wp14:editId="05FE1B18">
                <wp:simplePos x="0" y="0"/>
                <wp:positionH relativeFrom="column">
                  <wp:posOffset>1958340</wp:posOffset>
                </wp:positionH>
                <wp:positionV relativeFrom="paragraph">
                  <wp:posOffset>99060</wp:posOffset>
                </wp:positionV>
                <wp:extent cx="2164080" cy="802005"/>
                <wp:effectExtent l="0" t="0" r="7620" b="0"/>
                <wp:wrapNone/>
                <wp:docPr id="65"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4080" cy="802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0F55A9" w:rsidRDefault="00721450" w:rsidP="006A31AE">
                            <w:pPr>
                              <w:spacing w:after="0" w:line="240" w:lineRule="auto"/>
                              <w:rPr>
                                <w:rFonts w:eastAsia="Times New Roman"/>
                                <w:bCs/>
                                <w:lang w:eastAsia="en-GB"/>
                              </w:rPr>
                            </w:pPr>
                            <w:r w:rsidRPr="000F55A9">
                              <w:rPr>
                                <w:rFonts w:eastAsia="Times New Roman"/>
                                <w:bCs/>
                                <w:lang w:eastAsia="en-GB"/>
                              </w:rPr>
                              <w:t>Croydon has one of the highest rates for the reuse, recycling and composting of household waste in London.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43E03B" id="Text Box 80" o:spid="_x0000_s1077" type="#_x0000_t202" style="position:absolute;left:0;text-align:left;margin-left:154.2pt;margin-top:7.8pt;width:170.4pt;height:63.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" stroked="f">
                <v:textbox>
                  <w:txbxContent>
                    <w:p w:rsidR="00721450" w:rsidRPr="000F55A9" w:rsidRDefault="00721450" w:rsidP="006A31AE">
                      <w:pPr>
                        <w:spacing w:after="0" w:line="240" w:lineRule="auto"/>
                        <w:rPr>
                          <w:rFonts w:eastAsia="Times New Roman"/>
                          <w:bCs/>
                          <w:lang w:eastAsia="en-GB"/>
                        </w:rPr>
                      </w:pPr>
                      <w:r w:rsidRPr="000F55A9">
                        <w:rPr>
                          <w:rFonts w:eastAsia="Times New Roman"/>
                          <w:bCs/>
                          <w:lang w:eastAsia="en-GB"/>
                        </w:rPr>
                        <w:t>Croydon has one of the highest rates for the reuse, recycling and composting of household waste in London.</w:t>
                      </w:r>
                    </w:p>
                  </w:txbxContent>
                </v:textbox>
              </v:shape>
            </w:pict>
          </mc:Fallback>
        </mc:AlternateContent>
      </w:r>
      <w:r w:rsidRPr="006A31AE">
        <w:rPr>
          <w:rFonts w:ascii="Arial" w:eastAsia="Times New Roman" w:hAnsi="Arial" w:cs="Arial"/>
          <w:b/>
          <w:bCs/>
          <w:noProof/>
          <w:color w:val="701471"/>
          <w:sz w:val="28"/>
          <w:szCs w:val="24"/>
          <w:lang w:eastAsia="en-GB"/>
        </w:rPr>
        <w:drawing>
          <wp:inline distT="0" distB="0" distL="0" distR="0" wp14:anchorId="00620B2A" wp14:editId="4C52FA83">
            <wp:extent cx="954815" cy="888201"/>
            <wp:effectExtent l="19050" t="0" r="0" b="0"/>
            <wp:docPr id="88" name="Picture 6" descr="MOP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PAC.png"/>
                    <pic:cNvPicPr/>
                  </pic:nvPicPr>
                  <pic:blipFill>
                    <a:blip r:embed="rId74" cstate="print"/>
                    <a:stretch>
                      <a:fillRect/>
                    </a:stretch>
                  </pic:blipFill>
                  <pic:spPr>
                    <a:xfrm>
                      <a:off x="0" y="0"/>
                      <a:ext cx="954815" cy="888201"/>
                    </a:xfrm>
                    <a:prstGeom prst="rect">
                      <a:avLst/>
                    </a:prstGeom>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96"/>
          <w:szCs w:val="96"/>
          <w:lang w:eastAsia="en-GB"/>
        </w:rPr>
      </w:pPr>
    </w:p>
    <w:p w:rsidR="006A31AE" w:rsidRPr="006A31AE" w:rsidRDefault="006A31AE" w:rsidP="006A31AE">
      <w:pPr>
        <w:spacing w:after="0" w:line="240" w:lineRule="auto"/>
        <w:outlineLvl w:val="0"/>
        <w:rPr>
          <w:rFonts w:ascii="Arial" w:eastAsia="Times New Roman" w:hAnsi="Arial" w:cs="Arial"/>
          <w:b/>
          <w:bCs/>
          <w:color w:val="701471"/>
          <w:sz w:val="32"/>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277CF4" w:rsidRDefault="00277CF4" w:rsidP="006A31AE">
      <w:pPr>
        <w:spacing w:after="0" w:line="240" w:lineRule="auto"/>
        <w:outlineLvl w:val="0"/>
        <w:rPr>
          <w:rFonts w:ascii="Arial" w:eastAsia="Times New Roman" w:hAnsi="Arial" w:cs="Arial"/>
          <w:b/>
          <w:bCs/>
          <w:color w:val="701471"/>
          <w:sz w:val="28"/>
          <w:szCs w:val="24"/>
          <w:lang w:eastAsia="en-GB"/>
        </w:rPr>
      </w:pPr>
    </w:p>
    <w:p w:rsidR="00277CF4" w:rsidRPr="006A31AE" w:rsidRDefault="00277CF4"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26614C88" wp14:editId="7DC1D691">
            <wp:extent cx="226344" cy="200025"/>
            <wp:effectExtent l="19050" t="0" r="2256" b="0"/>
            <wp:docPr id="95" name="Picture 1" descr="Warning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rning 2.png"/>
                    <pic:cNvPicPr/>
                  </pic:nvPicPr>
                  <pic:blipFill>
                    <a:blip r:embed="rId36" cstate="print"/>
                    <a:stretch>
                      <a:fillRect/>
                    </a:stretch>
                  </pic:blipFill>
                  <pic:spPr>
                    <a:xfrm>
                      <a:off x="0" y="0"/>
                      <a:ext cx="226645" cy="200291"/>
                    </a:xfrm>
                    <a:prstGeom prst="rect">
                      <a:avLst/>
                    </a:prstGeom>
                  </pic:spPr>
                </pic:pic>
              </a:graphicData>
            </a:graphic>
          </wp:inline>
        </w:drawing>
      </w:r>
      <w:r w:rsidRPr="006A31AE">
        <w:rPr>
          <w:rFonts w:ascii="Arial" w:eastAsia="Times New Roman" w:hAnsi="Arial" w:cs="Arial"/>
          <w:b/>
          <w:bCs/>
          <w:color w:val="701471"/>
          <w:sz w:val="28"/>
          <w:szCs w:val="24"/>
          <w:lang w:eastAsia="en-GB"/>
        </w:rPr>
        <w:t xml:space="preserve"> Challenges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688960" behindDoc="0" locked="0" layoutInCell="1" allowOverlap="1" wp14:anchorId="10517EBA" wp14:editId="21775766">
                <wp:simplePos x="0" y="0"/>
                <wp:positionH relativeFrom="margin">
                  <wp:posOffset>7051040</wp:posOffset>
                </wp:positionH>
                <wp:positionV relativeFrom="paragraph">
                  <wp:posOffset>2540</wp:posOffset>
                </wp:positionV>
                <wp:extent cx="2255520" cy="1503680"/>
                <wp:effectExtent l="0" t="0" r="0" b="1270"/>
                <wp:wrapNone/>
                <wp:docPr id="2074"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5520" cy="15036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E12DE0" w:rsidRDefault="00721450" w:rsidP="006A31AE">
                            <w:r w:rsidRPr="00E12DE0">
                              <w:t xml:space="preserve">Uptake of cycling in Croydon is still below the </w:t>
                            </w:r>
                            <w:r>
                              <w:t xml:space="preserve">averages in </w:t>
                            </w:r>
                            <w:r w:rsidRPr="00E12DE0">
                              <w:t>London and national</w:t>
                            </w:r>
                            <w:r>
                              <w:t>ly</w:t>
                            </w:r>
                            <w:r w:rsidRPr="00E12DE0">
                              <w:t xml:space="preserve"> with only 7.6% of residents estimated to have done cycling once a week during 2016/2017.</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0517EBA" id="Text Box 82" o:spid="_x0000_s1078" type="#_x0000_t202" style="position:absolute;margin-left:555.2pt;margin-top:.2pt;width:177.6pt;height:118.4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" stroked="f">
                <v:textbox>
                  <w:txbxContent>
                    <w:p w:rsidR="00721450" w:rsidRPr="00E12DE0" w:rsidRDefault="00721450" w:rsidP="006A31AE">
                      <w:r w:rsidRPr="00E12DE0">
                        <w:t xml:space="preserve">Uptake of cycling in Croydon is still below the </w:t>
                      </w:r>
                      <w:r>
                        <w:t xml:space="preserve">averages in </w:t>
                      </w:r>
                      <w:r w:rsidRPr="00E12DE0">
                        <w:t>London and national</w:t>
                      </w:r>
                      <w:r>
                        <w:t>ly</w:t>
                      </w:r>
                      <w:r w:rsidRPr="00E12DE0">
                        <w:t xml:space="preserve"> with only 7.6% of residents estimated to have done cycling once a week during 2016/2017.</w:t>
                      </w:r>
                    </w:p>
                  </w:txbxContent>
                </v:textbox>
                <w10:wrap anchorx="margin"/>
              </v:shape>
            </w:pict>
          </mc:Fallback>
        </mc:AlternateContent>
      </w:r>
    </w:p>
    <w:p w:rsidR="006A31AE" w:rsidRPr="006A31AE" w:rsidRDefault="006A31AE" w:rsidP="006A31AE">
      <w:pPr>
        <w:spacing w:after="0" w:line="240" w:lineRule="auto"/>
        <w:ind w:left="284"/>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7A60B5E0" wp14:editId="6B2E39B3">
            <wp:extent cx="1143000" cy="752841"/>
            <wp:effectExtent l="19050" t="0" r="0" b="0"/>
            <wp:docPr id="96" name="Picture 5" descr="Injured m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jured man.png"/>
                    <pic:cNvPicPr/>
                  </pic:nvPicPr>
                  <pic:blipFill>
                    <a:blip r:embed="rId75" cstate="print"/>
                    <a:stretch>
                      <a:fillRect/>
                    </a:stretch>
                  </pic:blipFill>
                  <pic:spPr>
                    <a:xfrm>
                      <a:off x="0" y="0"/>
                      <a:ext cx="1149529" cy="757142"/>
                    </a:xfrm>
                    <a:prstGeom prst="rect">
                      <a:avLst/>
                    </a:prstGeom>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689984" behindDoc="0" locked="0" layoutInCell="1" allowOverlap="1" wp14:anchorId="67687472" wp14:editId="2D483353">
                <wp:simplePos x="0" y="0"/>
                <wp:positionH relativeFrom="column">
                  <wp:posOffset>2375535</wp:posOffset>
                </wp:positionH>
                <wp:positionV relativeFrom="paragraph">
                  <wp:posOffset>111216</wp:posOffset>
                </wp:positionV>
                <wp:extent cx="2277292" cy="760548"/>
                <wp:effectExtent l="0" t="0" r="8890" b="1905"/>
                <wp:wrapNone/>
                <wp:docPr id="207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7292" cy="76054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0F55A9" w:rsidRDefault="00721450" w:rsidP="006A31AE">
                            <w:r w:rsidRPr="000F55A9">
                              <w:t xml:space="preserve">The number of road traffic collisions in Croydon </w:t>
                            </w:r>
                            <w:r>
                              <w:t xml:space="preserve">in 2017 </w:t>
                            </w:r>
                            <w:r w:rsidRPr="000F55A9">
                              <w:t>has been increasing over the last 3 years</w:t>
                            </w:r>
                            <w: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687472" id="Text Box 83" o:spid="_x0000_s1079" type="#_x0000_t202" style="position:absolute;margin-left:187.05pt;margin-top:8.75pt;width:179.3pt;height:59.9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" stroked="f">
                <v:textbox>
                  <w:txbxContent>
                    <w:p w:rsidR="00721450" w:rsidRPr="000F55A9" w:rsidRDefault="00721450" w:rsidP="006A31AE">
                      <w:r w:rsidRPr="000F55A9">
                        <w:t xml:space="preserve">The number of road traffic collisions in Croydon </w:t>
                      </w:r>
                      <w:r>
                        <w:t xml:space="preserve">in 2017 </w:t>
                      </w:r>
                      <w:r w:rsidRPr="000F55A9">
                        <w:t>has been increasing over the last 3 years</w:t>
                      </w:r>
                      <w:r>
                        <w:t>.</w:t>
                      </w:r>
                    </w:p>
                  </w:txbxContent>
                </v:textbox>
              </v:shape>
            </w:pict>
          </mc:Fallback>
        </mc:AlternateContent>
      </w:r>
      <w:r w:rsidRPr="006A31AE">
        <w:rPr>
          <w:rFonts w:ascii="Arial" w:eastAsia="Times New Roman" w:hAnsi="Arial" w:cs="Arial"/>
          <w:b/>
          <w:bCs/>
          <w:noProof/>
          <w:color w:val="701471"/>
          <w:sz w:val="28"/>
          <w:szCs w:val="24"/>
          <w:lang w:eastAsia="en-GB"/>
        </w:rPr>
        <w:drawing>
          <wp:inline distT="0" distB="0" distL="0" distR="0" wp14:anchorId="45E5BEEF" wp14:editId="19DAB11E">
            <wp:extent cx="1697182" cy="782388"/>
            <wp:effectExtent l="0" t="0" r="0" b="0"/>
            <wp:docPr id="102" name="Picture 9" descr="SY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V.png"/>
                    <pic:cNvPicPr/>
                  </pic:nvPicPr>
                  <pic:blipFill>
                    <a:blip r:embed="rId76" cstate="print"/>
                    <a:stretch>
                      <a:fillRect/>
                    </a:stretch>
                  </pic:blipFill>
                  <pic:spPr>
                    <a:xfrm>
                      <a:off x="0" y="0"/>
                      <a:ext cx="1695930" cy="781811"/>
                    </a:xfrm>
                    <a:prstGeom prst="rect">
                      <a:avLst/>
                    </a:prstGeom>
                  </pic:spPr>
                </pic:pic>
              </a:graphicData>
            </a:graphic>
          </wp:inline>
        </w:drawing>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noProof/>
          <w:color w:val="701471"/>
          <w:sz w:val="28"/>
          <w:szCs w:val="24"/>
          <w:lang w:eastAsia="en-GB"/>
        </w:rPr>
        <mc:AlternateContent>
          <mc:Choice Requires="wps">
            <w:drawing>
              <wp:anchor distT="0" distB="0" distL="114300" distR="114300" simplePos="0" relativeHeight="251685888" behindDoc="0" locked="0" layoutInCell="1" allowOverlap="1" wp14:anchorId="75C97AA7" wp14:editId="4D733FB2">
                <wp:simplePos x="0" y="0"/>
                <wp:positionH relativeFrom="column">
                  <wp:posOffset>2374265</wp:posOffset>
                </wp:positionH>
                <wp:positionV relativeFrom="paragraph">
                  <wp:posOffset>5080</wp:posOffset>
                </wp:positionV>
                <wp:extent cx="2143760" cy="1148080"/>
                <wp:effectExtent l="0" t="0" r="8890" b="0"/>
                <wp:wrapNone/>
                <wp:docPr id="64"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3760" cy="11480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21450" w:rsidRPr="000F55A9" w:rsidRDefault="00721450" w:rsidP="006A31AE">
                            <w:pPr>
                              <w:spacing w:after="0" w:line="240" w:lineRule="auto"/>
                              <w:rPr>
                                <w:rFonts w:eastAsia="Times New Roman"/>
                                <w:bCs/>
                                <w:lang w:eastAsia="en-GB"/>
                              </w:rPr>
                            </w:pPr>
                            <w:r w:rsidRPr="000F55A9">
                              <w:rPr>
                                <w:rFonts w:eastAsia="Times New Roman"/>
                                <w:bCs/>
                                <w:lang w:eastAsia="en-GB"/>
                              </w:rPr>
                              <w:t>The number of people killed or seriously injured in road traffic accid</w:t>
                            </w:r>
                            <w:r>
                              <w:rPr>
                                <w:rFonts w:eastAsia="Times New Roman"/>
                                <w:bCs/>
                                <w:lang w:eastAsia="en-GB"/>
                              </w:rPr>
                              <w:t>ents has increased</w:t>
                            </w:r>
                            <w:r w:rsidRPr="000F55A9">
                              <w:rPr>
                                <w:rFonts w:eastAsia="Times New Roman"/>
                                <w:bCs/>
                                <w:lang w:eastAsia="en-GB"/>
                              </w:rPr>
                              <w:t xml:space="preserve"> </w:t>
                            </w:r>
                            <w:r>
                              <w:rPr>
                                <w:rFonts w:eastAsia="Times New Roman"/>
                                <w:bCs/>
                                <w:lang w:eastAsia="en-GB"/>
                              </w:rPr>
                              <w:t xml:space="preserve">significantly </w:t>
                            </w:r>
                            <w:r w:rsidRPr="000F55A9">
                              <w:rPr>
                                <w:rFonts w:eastAsia="Times New Roman"/>
                                <w:bCs/>
                                <w:lang w:eastAsia="en-GB"/>
                              </w:rPr>
                              <w:t>in 2017 compared to the previous 4 years</w:t>
                            </w:r>
                            <w:r>
                              <w:rPr>
                                <w:rFonts w:eastAsia="Times New Roman"/>
                                <w:bCs/>
                                <w:lang w:eastAsia="en-GB"/>
                              </w:rPr>
                              <w:t>.</w:t>
                            </w:r>
                          </w:p>
                          <w:p w:rsidR="00721450" w:rsidRPr="000F55A9" w:rsidRDefault="00721450" w:rsidP="006A31AE">
                            <w:pPr>
                              <w:spacing w:after="0" w:line="240" w:lineRule="auto"/>
                              <w:rPr>
                                <w:rFonts w:eastAsia="Times New Roman"/>
                                <w:bCs/>
                                <w:lang w:eastAsia="en-GB"/>
                              </w:rPr>
                            </w:pPr>
                          </w:p>
                          <w:p w:rsidR="00721450" w:rsidRPr="00451D14" w:rsidRDefault="00721450" w:rsidP="006A31AE">
                            <w:pPr>
                              <w:spacing w:after="0" w:line="240" w:lineRule="auto"/>
                              <w:rPr>
                                <w:rFonts w:eastAsia="Times New Roman"/>
                                <w:bCs/>
                                <w:lang w:eastAsia="en-GB"/>
                              </w:rPr>
                            </w:pPr>
                            <w:r w:rsidRPr="00451D14">
                              <w:rPr>
                                <w:rFonts w:eastAsia="Times New Roman"/>
                                <w:bCs/>
                                <w:lang w:eastAsia="en-GB"/>
                              </w:rPr>
                              <w:t xml:space="preserve"> seriously injured in road traffic collisions in Croydon has decreased since 2012.</w:t>
                            </w:r>
                          </w:p>
                          <w:p w:rsidR="00721450" w:rsidRPr="002F44FA" w:rsidRDefault="00721450" w:rsidP="006A31A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5C97AA7" id="Text Box 79" o:spid="_x0000_s1080" type="#_x0000_t202" style="position:absolute;margin-left:186.95pt;margin-top:.4pt;width:168.8pt;height:90.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" stroked="f">
                <v:textbox>
                  <w:txbxContent>
                    <w:p w:rsidR="00721450" w:rsidRPr="000F55A9" w:rsidRDefault="00721450" w:rsidP="006A31AE">
                      <w:pPr>
                        <w:spacing w:after="0" w:line="240" w:lineRule="auto"/>
                        <w:rPr>
                          <w:rFonts w:eastAsia="Times New Roman"/>
                          <w:bCs/>
                          <w:lang w:eastAsia="en-GB"/>
                        </w:rPr>
                      </w:pPr>
                      <w:r w:rsidRPr="000F55A9">
                        <w:rPr>
                          <w:rFonts w:eastAsia="Times New Roman"/>
                          <w:bCs/>
                          <w:lang w:eastAsia="en-GB"/>
                        </w:rPr>
                        <w:t>The number of people killed or seriously injured in road traffic accid</w:t>
                      </w:r>
                      <w:r>
                        <w:rPr>
                          <w:rFonts w:eastAsia="Times New Roman"/>
                          <w:bCs/>
                          <w:lang w:eastAsia="en-GB"/>
                        </w:rPr>
                        <w:t>ents has increased</w:t>
                      </w:r>
                      <w:r w:rsidRPr="000F55A9">
                        <w:rPr>
                          <w:rFonts w:eastAsia="Times New Roman"/>
                          <w:bCs/>
                          <w:lang w:eastAsia="en-GB"/>
                        </w:rPr>
                        <w:t xml:space="preserve"> </w:t>
                      </w:r>
                      <w:r>
                        <w:rPr>
                          <w:rFonts w:eastAsia="Times New Roman"/>
                          <w:bCs/>
                          <w:lang w:eastAsia="en-GB"/>
                        </w:rPr>
                        <w:t xml:space="preserve">significantly </w:t>
                      </w:r>
                      <w:r w:rsidRPr="000F55A9">
                        <w:rPr>
                          <w:rFonts w:eastAsia="Times New Roman"/>
                          <w:bCs/>
                          <w:lang w:eastAsia="en-GB"/>
                        </w:rPr>
                        <w:t>in 2017 compared to the previous 4 years</w:t>
                      </w:r>
                      <w:r>
                        <w:rPr>
                          <w:rFonts w:eastAsia="Times New Roman"/>
                          <w:bCs/>
                          <w:lang w:eastAsia="en-GB"/>
                        </w:rPr>
                        <w:t>.</w:t>
                      </w:r>
                    </w:p>
                    <w:p w:rsidR="00721450" w:rsidRPr="000F55A9" w:rsidRDefault="00721450" w:rsidP="006A31AE">
                      <w:pPr>
                        <w:spacing w:after="0" w:line="240" w:lineRule="auto"/>
                        <w:rPr>
                          <w:rFonts w:eastAsia="Times New Roman"/>
                          <w:bCs/>
                          <w:lang w:eastAsia="en-GB"/>
                        </w:rPr>
                      </w:pPr>
                    </w:p>
                    <w:p w:rsidR="00721450" w:rsidRPr="00451D14" w:rsidRDefault="00721450" w:rsidP="006A31AE">
                      <w:pPr>
                        <w:spacing w:after="0" w:line="240" w:lineRule="auto"/>
                        <w:rPr>
                          <w:rFonts w:eastAsia="Times New Roman"/>
                          <w:bCs/>
                          <w:lang w:eastAsia="en-GB"/>
                        </w:rPr>
                      </w:pPr>
                      <w:r w:rsidRPr="00451D14">
                        <w:rPr>
                          <w:rFonts w:eastAsia="Times New Roman"/>
                          <w:bCs/>
                          <w:lang w:eastAsia="en-GB"/>
                        </w:rPr>
                        <w:t xml:space="preserve"> seriously injured in road traffic collisions in Croydon has decreased since 2012.</w:t>
                      </w:r>
                    </w:p>
                    <w:p w:rsidR="00721450" w:rsidRPr="002F44FA" w:rsidRDefault="00721450" w:rsidP="006A31AE"/>
                  </w:txbxContent>
                </v:textbox>
              </v:shape>
            </w:pict>
          </mc:Fallback>
        </mc:AlternateContent>
      </w:r>
      <w:r w:rsidRPr="006A31AE">
        <w:rPr>
          <w:rFonts w:ascii="Arial" w:eastAsia="Times New Roman" w:hAnsi="Arial" w:cs="Arial"/>
          <w:b/>
          <w:bCs/>
          <w:noProof/>
          <w:color w:val="701471"/>
          <w:sz w:val="96"/>
          <w:szCs w:val="96"/>
          <w:lang w:eastAsia="en-GB"/>
        </w:rPr>
        <w:drawing>
          <wp:inline distT="0" distB="0" distL="0" distR="0" wp14:anchorId="595F6036" wp14:editId="3AFADB92">
            <wp:extent cx="1226820" cy="633857"/>
            <wp:effectExtent l="0" t="0" r="0" b="0"/>
            <wp:docPr id="94" name="Picture 100" descr="Ambulan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mbulance.png"/>
                    <pic:cNvPicPr/>
                  </pic:nvPicPr>
                  <pic:blipFill>
                    <a:blip r:embed="rId77" cstate="print"/>
                    <a:stretch>
                      <a:fillRect/>
                    </a:stretch>
                  </pic:blipFill>
                  <pic:spPr>
                    <a:xfrm>
                      <a:off x="0" y="0"/>
                      <a:ext cx="1232926" cy="637012"/>
                    </a:xfrm>
                    <a:prstGeom prst="rect">
                      <a:avLst/>
                    </a:prstGeom>
                  </pic:spPr>
                </pic:pic>
              </a:graphicData>
            </a:graphic>
          </wp:inline>
        </w:drawing>
      </w: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654D63" w:rsidRDefault="00654D63" w:rsidP="006A31AE">
      <w:pPr>
        <w:spacing w:after="0" w:line="240" w:lineRule="auto"/>
        <w:rPr>
          <w:rFonts w:ascii="Arial" w:eastAsia="Times New Roman" w:hAnsi="Arial" w:cs="Arial"/>
          <w:b/>
          <w:bCs/>
          <w:color w:val="701471"/>
          <w:sz w:val="32"/>
          <w:szCs w:val="28"/>
          <w:lang w:eastAsia="en-GB"/>
        </w:rPr>
      </w:pPr>
    </w:p>
    <w:p w:rsidR="00654D63" w:rsidRPr="00F81669" w:rsidRDefault="00654D63" w:rsidP="006A31AE">
      <w:pPr>
        <w:spacing w:after="0" w:line="240" w:lineRule="auto"/>
        <w:rPr>
          <w:rFonts w:ascii="Arial" w:eastAsia="Times New Roman" w:hAnsi="Arial" w:cs="Arial"/>
          <w:b/>
          <w:bCs/>
          <w:color w:val="701471"/>
          <w:sz w:val="24"/>
          <w:szCs w:val="24"/>
          <w:lang w:eastAsia="en-GB"/>
        </w:rPr>
      </w:pPr>
    </w:p>
    <w:p w:rsidR="00F81669" w:rsidRPr="00F81669" w:rsidRDefault="00F81669" w:rsidP="006A31AE">
      <w:pPr>
        <w:spacing w:after="0" w:line="240" w:lineRule="auto"/>
        <w:rPr>
          <w:rFonts w:ascii="Arial" w:eastAsia="Times New Roman" w:hAnsi="Arial" w:cs="Arial"/>
          <w:b/>
          <w:bCs/>
          <w:color w:val="701471"/>
          <w:sz w:val="24"/>
          <w:szCs w:val="24"/>
          <w:lang w:eastAsia="en-GB"/>
        </w:rPr>
      </w:pPr>
    </w:p>
    <w:p w:rsidR="00F81669" w:rsidRDefault="00F81669" w:rsidP="006A31AE">
      <w:pPr>
        <w:spacing w:after="0" w:line="240" w:lineRule="auto"/>
        <w:rPr>
          <w:rFonts w:ascii="Arial" w:eastAsia="Times New Roman" w:hAnsi="Arial" w:cs="Arial"/>
          <w:b/>
          <w:bCs/>
          <w:color w:val="701471"/>
          <w:sz w:val="32"/>
          <w:szCs w:val="28"/>
          <w:lang w:eastAsia="en-GB"/>
        </w:rPr>
        <w:sectPr w:rsidR="00F81669" w:rsidSect="006A31AE">
          <w:footerReference w:type="default" r:id="rId78"/>
          <w:headerReference w:type="first" r:id="rId79"/>
          <w:pgSz w:w="16838" w:h="11906" w:orient="landscape"/>
          <w:pgMar w:top="1560" w:right="1440" w:bottom="993" w:left="1440" w:header="142" w:footer="708" w:gutter="0"/>
          <w:cols w:num="2" w:space="708"/>
          <w:docGrid w:linePitch="360"/>
        </w:sectPr>
      </w:pPr>
    </w:p>
    <w:p w:rsidR="006A31AE" w:rsidRPr="006A31AE" w:rsidRDefault="006A31AE" w:rsidP="006A31AE">
      <w:pPr>
        <w:spacing w:after="0" w:line="240" w:lineRule="auto"/>
        <w:rPr>
          <w:rFonts w:ascii="Arial" w:eastAsia="Times New Roman" w:hAnsi="Arial" w:cs="Arial"/>
          <w:b/>
          <w:bCs/>
          <w:color w:val="701471"/>
          <w:sz w:val="32"/>
          <w:szCs w:val="28"/>
          <w:lang w:eastAsia="en-GB"/>
        </w:rPr>
      </w:pPr>
      <w:r w:rsidRPr="006A31AE">
        <w:rPr>
          <w:rFonts w:ascii="Arial" w:eastAsia="Times New Roman" w:hAnsi="Arial" w:cs="Arial"/>
          <w:b/>
          <w:bCs/>
          <w:noProof/>
          <w:color w:val="701471"/>
          <w:sz w:val="32"/>
          <w:szCs w:val="28"/>
          <w:lang w:eastAsia="en-GB"/>
        </w:rPr>
        <w:lastRenderedPageBreak/>
        <w:drawing>
          <wp:inline distT="0" distB="0" distL="0" distR="0" wp14:anchorId="44C655B7" wp14:editId="07D339FB">
            <wp:extent cx="666695" cy="648594"/>
            <wp:effectExtent l="19050" t="0" r="55" b="0"/>
            <wp:docPr id="141" name="Picture 13"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34" cstate="print"/>
                    <a:stretch>
                      <a:fillRect/>
                    </a:stretch>
                  </pic:blipFill>
                  <pic:spPr>
                    <a:xfrm>
                      <a:off x="0" y="0"/>
                      <a:ext cx="666695" cy="648594"/>
                    </a:xfrm>
                    <a:prstGeom prst="rect">
                      <a:avLst/>
                    </a:prstGeom>
                  </pic:spPr>
                </pic:pic>
              </a:graphicData>
            </a:graphic>
          </wp:inline>
        </w:drawing>
      </w:r>
      <w:r w:rsidRPr="006A31AE">
        <w:rPr>
          <w:rFonts w:ascii="Arial" w:eastAsia="Times New Roman" w:hAnsi="Arial" w:cs="Arial"/>
          <w:b/>
          <w:bCs/>
          <w:color w:val="701471"/>
          <w:sz w:val="32"/>
          <w:szCs w:val="28"/>
          <w:lang w:eastAsia="en-GB"/>
        </w:rPr>
        <w:t xml:space="preserve"> </w:t>
      </w:r>
      <w:r w:rsidRPr="006A31AE">
        <w:rPr>
          <w:rFonts w:ascii="Arial" w:eastAsia="Times New Roman" w:hAnsi="Arial" w:cs="Arial"/>
          <w:b/>
          <w:bCs/>
          <w:color w:val="701471"/>
          <w:sz w:val="40"/>
          <w:szCs w:val="28"/>
          <w:lang w:eastAsia="en-GB"/>
        </w:rPr>
        <w:t>Population</w:t>
      </w:r>
    </w:p>
    <w:p w:rsidR="006A31AE" w:rsidRPr="006A31AE" w:rsidRDefault="006A31AE" w:rsidP="006A31AE">
      <w:pPr>
        <w:spacing w:after="0" w:line="240" w:lineRule="auto"/>
        <w:rPr>
          <w:rFonts w:ascii="Arial" w:eastAsia="Times New Roman" w:hAnsi="Arial" w:cs="Arial"/>
          <w:bCs/>
          <w:color w:val="701471"/>
          <w:sz w:val="28"/>
          <w:szCs w:val="28"/>
          <w:lang w:eastAsia="en-GB"/>
        </w:rPr>
      </w:pPr>
      <w:r w:rsidRPr="006A31AE">
        <w:rPr>
          <w:rFonts w:ascii="Arial" w:eastAsia="Times New Roman" w:hAnsi="Arial" w:cs="Arial"/>
          <w:bCs/>
          <w:noProof/>
          <w:color w:val="701471"/>
          <w:sz w:val="28"/>
          <w:szCs w:val="28"/>
          <w:lang w:eastAsia="en-GB"/>
        </w:rPr>
        <mc:AlternateContent>
          <mc:Choice Requires="wps">
            <w:drawing>
              <wp:anchor distT="0" distB="0" distL="114300" distR="114300" simplePos="0" relativeHeight="251693056" behindDoc="0" locked="0" layoutInCell="1" allowOverlap="1" wp14:anchorId="4D640642" wp14:editId="1150F509">
                <wp:simplePos x="0" y="0"/>
                <wp:positionH relativeFrom="column">
                  <wp:posOffset>-30480</wp:posOffset>
                </wp:positionH>
                <wp:positionV relativeFrom="paragraph">
                  <wp:posOffset>126366</wp:posOffset>
                </wp:positionV>
                <wp:extent cx="3911600" cy="4673600"/>
                <wp:effectExtent l="0" t="0" r="12700" b="1270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0" cy="4673600"/>
                        </a:xfrm>
                        <a:prstGeom prst="rect">
                          <a:avLst/>
                        </a:prstGeom>
                        <a:solidFill>
                          <a:srgbClr val="FFFFFF"/>
                        </a:solidFill>
                        <a:ln w="9525">
                          <a:solidFill>
                            <a:srgbClr val="000000"/>
                          </a:solidFill>
                          <a:miter lim="800000"/>
                          <a:headEnd/>
                          <a:tailEnd/>
                        </a:ln>
                      </wps:spPr>
                      <wps:txbx>
                        <w:txbxContent>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Areas of progress</w:t>
                            </w:r>
                          </w:p>
                          <w:p w:rsidR="00721450" w:rsidRPr="006C1B2B" w:rsidRDefault="00721450" w:rsidP="006A31AE">
                            <w:pPr>
                              <w:spacing w:after="0" w:line="240" w:lineRule="auto"/>
                              <w:rPr>
                                <w:rFonts w:eastAsia="Times New Roman"/>
                                <w:bCs/>
                                <w:color w:val="701471"/>
                                <w:sz w:val="28"/>
                                <w:szCs w:val="28"/>
                                <w:lang w:eastAsia="en-GB"/>
                              </w:rPr>
                            </w:pPr>
                          </w:p>
                          <w:p w:rsidR="00721450" w:rsidRPr="000F55A9" w:rsidRDefault="00721450" w:rsidP="006A31AE">
                            <w:pPr>
                              <w:pStyle w:val="ListParagraph"/>
                              <w:numPr>
                                <w:ilvl w:val="0"/>
                                <w:numId w:val="1"/>
                              </w:numPr>
                              <w:spacing w:after="0" w:line="240" w:lineRule="auto"/>
                              <w:rPr>
                                <w:rFonts w:eastAsia="Times New Roman"/>
                                <w:bCs/>
                                <w:lang w:eastAsia="en-GB"/>
                              </w:rPr>
                            </w:pPr>
                            <w:r w:rsidRPr="000F55A9">
                              <w:rPr>
                                <w:rFonts w:eastAsia="Times New Roman"/>
                                <w:bCs/>
                                <w:lang w:eastAsia="en-GB"/>
                              </w:rPr>
                              <w:t>Croydon’s population continues to grow steadily.</w:t>
                            </w:r>
                          </w:p>
                          <w:p w:rsidR="00721450" w:rsidRPr="000F55A9" w:rsidRDefault="00721450" w:rsidP="006A31AE">
                            <w:pPr>
                              <w:spacing w:after="0" w:line="240" w:lineRule="auto"/>
                              <w:rPr>
                                <w:rFonts w:eastAsia="Times New Roman"/>
                                <w:bCs/>
                                <w:sz w:val="28"/>
                                <w:szCs w:val="28"/>
                                <w:lang w:eastAsia="en-GB"/>
                              </w:rPr>
                            </w:pPr>
                          </w:p>
                          <w:p w:rsidR="00721450" w:rsidRDefault="00721450" w:rsidP="006A31AE">
                            <w:pPr>
                              <w:spacing w:after="0" w:line="240" w:lineRule="auto"/>
                              <w:rPr>
                                <w:rFonts w:eastAsia="Times New Roman"/>
                                <w:bCs/>
                                <w:color w:val="006600"/>
                                <w:sz w:val="28"/>
                                <w:szCs w:val="28"/>
                                <w:lang w:eastAsia="en-GB"/>
                              </w:rPr>
                            </w:pPr>
                          </w:p>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Challenges</w:t>
                            </w:r>
                          </w:p>
                          <w:p w:rsidR="00721450" w:rsidRPr="006C1B2B" w:rsidRDefault="00721450" w:rsidP="006A31AE">
                            <w:pPr>
                              <w:spacing w:after="0" w:line="240" w:lineRule="auto"/>
                              <w:rPr>
                                <w:rFonts w:eastAsia="Times New Roman"/>
                                <w:bCs/>
                                <w:color w:val="701471"/>
                                <w:sz w:val="28"/>
                                <w:szCs w:val="28"/>
                                <w:lang w:eastAsia="en-GB"/>
                              </w:rPr>
                            </w:pPr>
                          </w:p>
                          <w:p w:rsidR="00721450" w:rsidRPr="000F55A9" w:rsidRDefault="00721450" w:rsidP="006A31AE">
                            <w:pPr>
                              <w:pStyle w:val="ListParagraph"/>
                              <w:numPr>
                                <w:ilvl w:val="0"/>
                                <w:numId w:val="2"/>
                              </w:numPr>
                            </w:pPr>
                            <w:r w:rsidRPr="000F55A9">
                              <w:t>The higher birth rate a few years ago means that there is an increase in the number of younger children requiring services in the borough.</w:t>
                            </w:r>
                          </w:p>
                          <w:p w:rsidR="00721450" w:rsidRPr="000F55A9" w:rsidRDefault="00721450" w:rsidP="006A31AE">
                            <w:pPr>
                              <w:pStyle w:val="ListParagraph"/>
                            </w:pPr>
                          </w:p>
                          <w:p w:rsidR="00721450" w:rsidRPr="00BF7012" w:rsidRDefault="00721450" w:rsidP="006A31AE">
                            <w:pPr>
                              <w:pStyle w:val="ListParagraph"/>
                              <w:numPr>
                                <w:ilvl w:val="0"/>
                                <w:numId w:val="2"/>
                              </w:numPr>
                            </w:pPr>
                            <w:r w:rsidRPr="00BF7012">
                              <w:t xml:space="preserve">ONS MYE 2016 indicates that Croydon </w:t>
                            </w:r>
                            <w:r>
                              <w:t xml:space="preserve">has a greater proportion of </w:t>
                            </w:r>
                            <w:r w:rsidRPr="00BF7012">
                              <w:t xml:space="preserve">population </w:t>
                            </w:r>
                            <w:r>
                              <w:t xml:space="preserve">aged </w:t>
                            </w:r>
                            <w:r w:rsidRPr="00BF7012">
                              <w:t>0-17 year</w:t>
                            </w:r>
                            <w:r>
                              <w:t>s compared to London and England and this will have an impact on school place provision.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640642" id="_x0000_s1081" type="#_x0000_t202" style="position:absolute;margin-left:-2.4pt;margin-top:9.95pt;width:308pt;height:36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">
                <v:textbox>
                  <w:txbxContent>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Areas of progress</w:t>
                      </w:r>
                    </w:p>
                    <w:p w:rsidR="00721450" w:rsidRPr="006C1B2B" w:rsidRDefault="00721450" w:rsidP="006A31AE">
                      <w:pPr>
                        <w:spacing w:after="0" w:line="240" w:lineRule="auto"/>
                        <w:rPr>
                          <w:rFonts w:eastAsia="Times New Roman"/>
                          <w:bCs/>
                          <w:color w:val="701471"/>
                          <w:sz w:val="28"/>
                          <w:szCs w:val="28"/>
                          <w:lang w:eastAsia="en-GB"/>
                        </w:rPr>
                      </w:pPr>
                    </w:p>
                    <w:p w:rsidR="00721450" w:rsidRPr="000F55A9" w:rsidRDefault="00721450" w:rsidP="006A31AE">
                      <w:pPr>
                        <w:pStyle w:val="ListParagraph"/>
                        <w:numPr>
                          <w:ilvl w:val="0"/>
                          <w:numId w:val="1"/>
                        </w:numPr>
                        <w:spacing w:after="0" w:line="240" w:lineRule="auto"/>
                        <w:rPr>
                          <w:rFonts w:eastAsia="Times New Roman"/>
                          <w:bCs/>
                          <w:lang w:eastAsia="en-GB"/>
                        </w:rPr>
                      </w:pPr>
                      <w:r w:rsidRPr="000F55A9">
                        <w:rPr>
                          <w:rFonts w:eastAsia="Times New Roman"/>
                          <w:bCs/>
                          <w:lang w:eastAsia="en-GB"/>
                        </w:rPr>
                        <w:t>Croydon’s population continues to grow steadily.</w:t>
                      </w:r>
                    </w:p>
                    <w:p w:rsidR="00721450" w:rsidRPr="000F55A9" w:rsidRDefault="00721450" w:rsidP="006A31AE">
                      <w:pPr>
                        <w:spacing w:after="0" w:line="240" w:lineRule="auto"/>
                        <w:rPr>
                          <w:rFonts w:eastAsia="Times New Roman"/>
                          <w:bCs/>
                          <w:sz w:val="28"/>
                          <w:szCs w:val="28"/>
                          <w:lang w:eastAsia="en-GB"/>
                        </w:rPr>
                      </w:pPr>
                    </w:p>
                    <w:p w:rsidR="00721450" w:rsidRDefault="00721450" w:rsidP="006A31AE">
                      <w:pPr>
                        <w:spacing w:after="0" w:line="240" w:lineRule="auto"/>
                        <w:rPr>
                          <w:rFonts w:eastAsia="Times New Roman"/>
                          <w:bCs/>
                          <w:color w:val="006600"/>
                          <w:sz w:val="28"/>
                          <w:szCs w:val="28"/>
                          <w:lang w:eastAsia="en-GB"/>
                        </w:rPr>
                      </w:pPr>
                    </w:p>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Challenges</w:t>
                      </w:r>
                    </w:p>
                    <w:p w:rsidR="00721450" w:rsidRPr="006C1B2B" w:rsidRDefault="00721450" w:rsidP="006A31AE">
                      <w:pPr>
                        <w:spacing w:after="0" w:line="240" w:lineRule="auto"/>
                        <w:rPr>
                          <w:rFonts w:eastAsia="Times New Roman"/>
                          <w:bCs/>
                          <w:color w:val="701471"/>
                          <w:sz w:val="28"/>
                          <w:szCs w:val="28"/>
                          <w:lang w:eastAsia="en-GB"/>
                        </w:rPr>
                      </w:pPr>
                    </w:p>
                    <w:p w:rsidR="00721450" w:rsidRPr="000F55A9" w:rsidRDefault="00721450" w:rsidP="006A31AE">
                      <w:pPr>
                        <w:pStyle w:val="ListParagraph"/>
                        <w:numPr>
                          <w:ilvl w:val="0"/>
                          <w:numId w:val="2"/>
                        </w:numPr>
                      </w:pPr>
                      <w:r w:rsidRPr="000F55A9">
                        <w:t>The higher birth rate a few years ago means that there is an increase in the number of younger children requiring services in the borough.</w:t>
                      </w:r>
                    </w:p>
                    <w:p w:rsidR="00721450" w:rsidRPr="000F55A9" w:rsidRDefault="00721450" w:rsidP="006A31AE">
                      <w:pPr>
                        <w:pStyle w:val="ListParagraph"/>
                      </w:pPr>
                    </w:p>
                    <w:p w:rsidR="00721450" w:rsidRPr="00BF7012" w:rsidRDefault="00721450" w:rsidP="006A31AE">
                      <w:pPr>
                        <w:pStyle w:val="ListParagraph"/>
                        <w:numPr>
                          <w:ilvl w:val="0"/>
                          <w:numId w:val="2"/>
                        </w:numPr>
                      </w:pPr>
                      <w:r w:rsidRPr="00BF7012">
                        <w:t xml:space="preserve">ONS MYE 2016 indicates that Croydon </w:t>
                      </w:r>
                      <w:r>
                        <w:t xml:space="preserve">has a greater proportion of </w:t>
                      </w:r>
                      <w:r w:rsidRPr="00BF7012">
                        <w:t xml:space="preserve">population </w:t>
                      </w:r>
                      <w:r>
                        <w:t xml:space="preserve">aged </w:t>
                      </w:r>
                      <w:r w:rsidRPr="00BF7012">
                        <w:t>0-17 year</w:t>
                      </w:r>
                      <w:r>
                        <w:t>s compared to London and England and this will have an impact on school place provision.</w:t>
                      </w:r>
                    </w:p>
                  </w:txbxContent>
                </v:textbox>
              </v:shape>
            </w:pict>
          </mc:Fallback>
        </mc:AlternateContent>
      </w:r>
    </w:p>
    <w:p w:rsidR="006A31AE" w:rsidRPr="006A31AE" w:rsidRDefault="006A31AE" w:rsidP="006A31AE">
      <w:pPr>
        <w:spacing w:after="0" w:line="240" w:lineRule="auto"/>
        <w:rPr>
          <w:rFonts w:ascii="Arial" w:eastAsia="Times New Roman" w:hAnsi="Arial" w:cs="Arial"/>
          <w:bCs/>
          <w:color w:val="701471"/>
          <w:sz w:val="28"/>
          <w:szCs w:val="28"/>
          <w:lang w:eastAsia="en-GB"/>
        </w:rPr>
      </w:pPr>
    </w:p>
    <w:p w:rsidR="006A31AE" w:rsidRPr="006A31AE" w:rsidRDefault="006A31AE" w:rsidP="006A31AE">
      <w:pPr>
        <w:spacing w:after="0" w:line="240" w:lineRule="auto"/>
        <w:rPr>
          <w:rFonts w:ascii="Arial" w:eastAsia="Times New Roman" w:hAnsi="Arial" w:cs="Arial"/>
          <w:bCs/>
          <w:color w:val="006600"/>
          <w:sz w:val="28"/>
          <w:szCs w:val="28"/>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Overview</w:t>
      </w:r>
    </w:p>
    <w:p w:rsidR="006A31AE" w:rsidRPr="006A31AE" w:rsidRDefault="006A31AE"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r w:rsidRPr="006A31AE">
        <w:rPr>
          <w:rFonts w:ascii="Arial" w:eastAsia="Times New Roman" w:hAnsi="Arial" w:cs="Arial"/>
          <w:bCs/>
          <w:sz w:val="24"/>
          <w:szCs w:val="24"/>
          <w:lang w:eastAsia="en-GB"/>
        </w:rPr>
        <w:t>This section offers a brief overview of the Croydon population looking at:</w:t>
      </w:r>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Population_growth" w:history="1">
        <w:r w:rsidR="006A31AE" w:rsidRPr="006A31AE">
          <w:rPr>
            <w:rFonts w:ascii="Arial" w:eastAsia="Times New Roman" w:hAnsi="Arial" w:cs="Arial"/>
            <w:bCs/>
            <w:color w:val="0000FF"/>
            <w:sz w:val="24"/>
            <w:szCs w:val="24"/>
            <w:u w:val="single"/>
            <w:lang w:eastAsia="en-GB"/>
          </w:rPr>
          <w:t>Population</w:t>
        </w:r>
        <w:r w:rsidR="006A31AE" w:rsidRPr="006A31AE">
          <w:rPr>
            <w:rFonts w:ascii="Arial" w:eastAsia="Calibri" w:hAnsi="Arial" w:cs="Arial"/>
            <w:color w:val="0000FF"/>
            <w:sz w:val="24"/>
            <w:szCs w:val="24"/>
            <w:u w:val="single"/>
          </w:rPr>
          <w:t xml:space="preserve"> growth</w:t>
        </w:r>
      </w:hyperlink>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Our_residents" w:history="1">
        <w:r w:rsidR="006A31AE" w:rsidRPr="006A31AE">
          <w:rPr>
            <w:rFonts w:ascii="Arial" w:eastAsia="Calibri" w:hAnsi="Arial" w:cs="Arial"/>
            <w:color w:val="0000FF"/>
            <w:sz w:val="24"/>
            <w:szCs w:val="24"/>
            <w:u w:val="single"/>
          </w:rPr>
          <w:t>Our residents</w:t>
        </w:r>
      </w:hyperlink>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Our_communities" w:history="1">
        <w:r w:rsidR="006A31AE" w:rsidRPr="006A31AE">
          <w:rPr>
            <w:rFonts w:ascii="Arial" w:eastAsia="Calibri" w:hAnsi="Arial" w:cs="Arial"/>
            <w:color w:val="0000FF"/>
            <w:sz w:val="24"/>
            <w:szCs w:val="24"/>
            <w:u w:val="single"/>
          </w:rPr>
          <w:t>Our communities</w:t>
        </w:r>
      </w:hyperlink>
    </w:p>
    <w:p w:rsidR="006A31AE" w:rsidRPr="006A31AE" w:rsidRDefault="006A31AE" w:rsidP="006A31AE">
      <w:pPr>
        <w:spacing w:after="0" w:line="240" w:lineRule="auto"/>
        <w:rPr>
          <w:rFonts w:ascii="Arial" w:eastAsia="Times New Roman" w:hAnsi="Arial" w:cs="Arial"/>
          <w:bCs/>
          <w:sz w:val="24"/>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bookmarkStart w:id="0" w:name="_Population_growth"/>
      <w:bookmarkEnd w:id="0"/>
    </w:p>
    <w:p w:rsidR="00E1567D" w:rsidRDefault="00E1567D" w:rsidP="006A31AE">
      <w:pPr>
        <w:spacing w:after="0" w:line="240" w:lineRule="auto"/>
        <w:outlineLvl w:val="0"/>
        <w:rPr>
          <w:rFonts w:ascii="Arial" w:eastAsia="Times New Roman" w:hAnsi="Arial" w:cs="Arial"/>
          <w:b/>
          <w:bCs/>
          <w:color w:val="701471"/>
          <w:sz w:val="28"/>
          <w:szCs w:val="24"/>
          <w:lang w:eastAsia="en-GB"/>
        </w:rPr>
      </w:pPr>
    </w:p>
    <w:p w:rsidR="00DE118A" w:rsidRDefault="00DE118A" w:rsidP="006A31AE">
      <w:pPr>
        <w:spacing w:after="0" w:line="240" w:lineRule="auto"/>
        <w:outlineLvl w:val="0"/>
        <w:rPr>
          <w:rFonts w:ascii="Arial" w:eastAsia="Times New Roman" w:hAnsi="Arial" w:cs="Arial"/>
          <w:b/>
          <w:bCs/>
          <w:color w:val="701471"/>
          <w:sz w:val="28"/>
          <w:szCs w:val="24"/>
          <w:lang w:eastAsia="en-GB"/>
        </w:rPr>
      </w:pPr>
    </w:p>
    <w:p w:rsidR="00DE118A" w:rsidRDefault="00DE118A" w:rsidP="006A31AE">
      <w:pPr>
        <w:spacing w:after="0" w:line="240" w:lineRule="auto"/>
        <w:outlineLvl w:val="0"/>
        <w:rPr>
          <w:rFonts w:ascii="Arial" w:eastAsia="Times New Roman" w:hAnsi="Arial" w:cs="Arial"/>
          <w:b/>
          <w:bCs/>
          <w:color w:val="701471"/>
          <w:sz w:val="28"/>
          <w:szCs w:val="24"/>
          <w:lang w:eastAsia="en-GB"/>
        </w:rPr>
      </w:pPr>
    </w:p>
    <w:p w:rsidR="00E1567D" w:rsidRDefault="00E1567D"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Population growth</w:t>
      </w:r>
    </w:p>
    <w:p w:rsidR="006A31AE" w:rsidRDefault="006A31AE" w:rsidP="006A31AE">
      <w:pPr>
        <w:spacing w:after="0" w:line="240" w:lineRule="auto"/>
        <w:rPr>
          <w:rFonts w:ascii="Arial" w:eastAsia="Times New Roman" w:hAnsi="Arial" w:cs="Arial"/>
          <w:b/>
          <w:bCs/>
          <w:color w:val="701471"/>
          <w:sz w:val="28"/>
          <w:szCs w:val="24"/>
          <w:lang w:eastAsia="en-GB"/>
        </w:rPr>
      </w:pPr>
    </w:p>
    <w:p w:rsidR="007D20C2" w:rsidRPr="006A31AE" w:rsidRDefault="007D20C2" w:rsidP="006A31AE">
      <w:pPr>
        <w:spacing w:after="0" w:line="240" w:lineRule="auto"/>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Overview</w:t>
      </w: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bookmarkStart w:id="1" w:name="_Total_notifiable_offences"/>
      <w:bookmarkEnd w:id="1"/>
      <w:r w:rsidRPr="006A31AE">
        <w:rPr>
          <w:rFonts w:ascii="Arial" w:eastAsia="Calibri" w:hAnsi="Arial" w:cs="Arial"/>
          <w:sz w:val="24"/>
          <w:szCs w:val="24"/>
          <w:lang w:eastAsia="en-GB"/>
        </w:rPr>
        <w:t>Croydon’s population is growing. The borough population recorded in Census 2001 was 330,587 and in the 2011 Census it had increased to 363,378</w:t>
      </w:r>
      <w:r w:rsidR="00535793">
        <w:rPr>
          <w:rFonts w:ascii="Arial" w:eastAsia="Calibri" w:hAnsi="Arial" w:cs="Arial"/>
          <w:sz w:val="24"/>
          <w:szCs w:val="24"/>
          <w:lang w:eastAsia="en-GB"/>
        </w:rPr>
        <w:t xml:space="preserve"> (9.9%)</w:t>
      </w:r>
      <w:r w:rsidRPr="006A31AE">
        <w:rPr>
          <w:rFonts w:ascii="Arial" w:eastAsia="Calibri" w:hAnsi="Arial" w:cs="Arial"/>
          <w:sz w:val="24"/>
          <w:szCs w:val="24"/>
          <w:lang w:eastAsia="en-GB"/>
        </w:rPr>
        <w:t>.  Based on ONS mid-year estimates</w:t>
      </w:r>
      <w:r w:rsidR="00DE118A">
        <w:rPr>
          <w:rFonts w:ascii="Arial" w:eastAsia="Calibri" w:hAnsi="Arial" w:cs="Arial"/>
          <w:sz w:val="24"/>
          <w:szCs w:val="24"/>
          <w:lang w:eastAsia="en-GB"/>
        </w:rPr>
        <w:t xml:space="preserve"> for</w:t>
      </w:r>
      <w:r w:rsidRPr="006A31AE">
        <w:rPr>
          <w:rFonts w:ascii="Arial" w:eastAsia="Calibri" w:hAnsi="Arial" w:cs="Arial"/>
          <w:sz w:val="24"/>
          <w:szCs w:val="24"/>
          <w:lang w:eastAsia="en-GB"/>
        </w:rPr>
        <w:t xml:space="preserve"> 2017, Croydon is home to 384,837 people and this is expected to increase to just under 500,000 by 2050.</w:t>
      </w:r>
      <w:r w:rsidR="002648E0">
        <w:rPr>
          <w:rFonts w:ascii="Arial" w:eastAsia="Calibri" w:hAnsi="Arial" w:cs="Arial"/>
          <w:sz w:val="24"/>
          <w:szCs w:val="24"/>
          <w:lang w:eastAsia="en-GB"/>
        </w:rPr>
        <w:t xml:space="preserve">  Croydon is </w:t>
      </w:r>
      <w:r w:rsidR="004D2E88">
        <w:rPr>
          <w:rFonts w:ascii="Arial" w:eastAsia="Calibri" w:hAnsi="Arial" w:cs="Arial"/>
          <w:sz w:val="24"/>
          <w:szCs w:val="24"/>
          <w:lang w:eastAsia="en-GB"/>
        </w:rPr>
        <w:t xml:space="preserve">now </w:t>
      </w:r>
      <w:r w:rsidR="002648E0">
        <w:rPr>
          <w:rFonts w:ascii="Arial" w:eastAsia="Calibri" w:hAnsi="Arial" w:cs="Arial"/>
          <w:sz w:val="24"/>
          <w:szCs w:val="24"/>
          <w:lang w:eastAsia="en-GB"/>
        </w:rPr>
        <w:t xml:space="preserve">the second most populous London borough, behind Barnet. </w:t>
      </w:r>
    </w:p>
    <w:p w:rsidR="006A31AE" w:rsidRPr="003A0EA8" w:rsidRDefault="006A31AE" w:rsidP="006A31AE">
      <w:pPr>
        <w:spacing w:after="200" w:line="276" w:lineRule="auto"/>
        <w:rPr>
          <w:rFonts w:ascii="Arial" w:eastAsia="Calibri" w:hAnsi="Arial" w:cs="Arial"/>
          <w:sz w:val="24"/>
          <w:szCs w:val="24"/>
          <w:u w:val="single"/>
          <w:lang w:eastAsia="en-GB"/>
        </w:rPr>
      </w:pPr>
      <w:r w:rsidRPr="003A0EA8">
        <w:rPr>
          <w:rFonts w:ascii="Arial" w:eastAsia="Calibri" w:hAnsi="Arial" w:cs="Arial"/>
          <w:sz w:val="24"/>
          <w:szCs w:val="24"/>
          <w:u w:val="single"/>
          <w:lang w:eastAsia="en-GB"/>
        </w:rPr>
        <w:lastRenderedPageBreak/>
        <w:t>Figure 1 – Projected population growth in Croydon</w:t>
      </w:r>
    </w:p>
    <w:p w:rsidR="006A31AE" w:rsidRDefault="006A31AE" w:rsidP="00435235">
      <w:pPr>
        <w:spacing w:after="0" w:line="240"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69D512B0" wp14:editId="2E3AE186">
            <wp:extent cx="4246880" cy="2611120"/>
            <wp:effectExtent l="0" t="0" r="1270" b="1778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6A31AE" w:rsidRPr="00435235" w:rsidRDefault="006A31AE" w:rsidP="007B0710">
      <w:pPr>
        <w:spacing w:before="120" w:after="0" w:line="240" w:lineRule="auto"/>
        <w:rPr>
          <w:rFonts w:ascii="Arial" w:eastAsia="Calibri" w:hAnsi="Arial" w:cs="Arial"/>
          <w:sz w:val="20"/>
          <w:szCs w:val="20"/>
          <w:lang w:eastAsia="en-GB"/>
        </w:rPr>
      </w:pPr>
      <w:r w:rsidRPr="00435235">
        <w:rPr>
          <w:rFonts w:ascii="Arial" w:eastAsia="Calibri" w:hAnsi="Arial" w:cs="Arial"/>
          <w:sz w:val="20"/>
          <w:szCs w:val="20"/>
          <w:lang w:eastAsia="en-GB"/>
        </w:rPr>
        <w:t>Source: GLA Central Trend-based projections, 2016</w:t>
      </w:r>
    </w:p>
    <w:p w:rsidR="006A31AE" w:rsidRDefault="006A31AE" w:rsidP="006A31AE">
      <w:pPr>
        <w:spacing w:after="200" w:line="276" w:lineRule="auto"/>
        <w:rPr>
          <w:rFonts w:ascii="Arial" w:eastAsia="Calibri" w:hAnsi="Arial" w:cs="Arial"/>
          <w:sz w:val="24"/>
          <w:szCs w:val="24"/>
          <w:lang w:eastAsia="en-GB"/>
        </w:rPr>
      </w:pPr>
    </w:p>
    <w:p w:rsidR="00F81669" w:rsidRDefault="008E1729" w:rsidP="007D20C2">
      <w:pPr>
        <w:spacing w:after="200" w:line="276" w:lineRule="auto"/>
        <w:rPr>
          <w:rFonts w:ascii="Arial" w:eastAsia="Calibri" w:hAnsi="Arial" w:cs="Arial"/>
          <w:sz w:val="24"/>
          <w:szCs w:val="24"/>
          <w:lang w:eastAsia="en-GB"/>
        </w:rPr>
      </w:pPr>
      <w:r>
        <w:rPr>
          <w:rFonts w:ascii="Arial" w:eastAsia="Calibri" w:hAnsi="Arial" w:cs="Arial"/>
          <w:sz w:val="24"/>
          <w:szCs w:val="24"/>
          <w:lang w:eastAsia="en-GB"/>
        </w:rPr>
        <w:t>Figure 2 provides a picture of the age profile in Croydon.</w:t>
      </w:r>
    </w:p>
    <w:p w:rsidR="007D20C2" w:rsidRDefault="007D20C2" w:rsidP="007D20C2">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latest ONS Mid-year estimate (MYE) indicates that 1 in 4 residents (2</w:t>
      </w:r>
      <w:r w:rsidR="00F81669">
        <w:rPr>
          <w:rFonts w:ascii="Arial" w:eastAsia="Calibri" w:hAnsi="Arial" w:cs="Arial"/>
          <w:sz w:val="24"/>
          <w:szCs w:val="24"/>
          <w:lang w:eastAsia="en-GB"/>
        </w:rPr>
        <w:t>4.6%) is aged between 0-17 years</w:t>
      </w:r>
      <w:r w:rsidRPr="006A31AE">
        <w:rPr>
          <w:rFonts w:ascii="Arial" w:eastAsia="Calibri" w:hAnsi="Arial" w:cs="Arial"/>
          <w:sz w:val="24"/>
          <w:szCs w:val="24"/>
          <w:lang w:eastAsia="en-GB"/>
        </w:rPr>
        <w:t xml:space="preserve"> in Croydon.</w:t>
      </w:r>
      <w:r w:rsidR="002648E0">
        <w:rPr>
          <w:rFonts w:ascii="Arial" w:eastAsia="Calibri" w:hAnsi="Arial" w:cs="Arial"/>
          <w:sz w:val="24"/>
          <w:szCs w:val="24"/>
          <w:lang w:eastAsia="en-GB"/>
        </w:rPr>
        <w:t xml:space="preserve"> This is a higher percentage than </w:t>
      </w:r>
      <w:r w:rsidR="0005085A">
        <w:rPr>
          <w:rFonts w:ascii="Arial" w:eastAsia="Calibri" w:hAnsi="Arial" w:cs="Arial"/>
          <w:sz w:val="24"/>
          <w:szCs w:val="24"/>
          <w:lang w:eastAsia="en-GB"/>
        </w:rPr>
        <w:t xml:space="preserve">both </w:t>
      </w:r>
      <w:r w:rsidR="002648E0">
        <w:rPr>
          <w:rFonts w:ascii="Arial" w:eastAsia="Calibri" w:hAnsi="Arial" w:cs="Arial"/>
          <w:sz w:val="24"/>
          <w:szCs w:val="24"/>
          <w:lang w:eastAsia="en-GB"/>
        </w:rPr>
        <w:t>across London and nationally.</w:t>
      </w:r>
    </w:p>
    <w:p w:rsidR="008E1729" w:rsidRDefault="00757AED" w:rsidP="007D20C2">
      <w:pPr>
        <w:spacing w:after="200" w:line="276" w:lineRule="auto"/>
        <w:rPr>
          <w:rFonts w:ascii="Arial" w:eastAsia="Calibri" w:hAnsi="Arial" w:cs="Arial"/>
          <w:sz w:val="24"/>
          <w:szCs w:val="24"/>
          <w:lang w:eastAsia="en-GB"/>
        </w:rPr>
      </w:pPr>
      <w:r>
        <w:rPr>
          <w:rFonts w:ascii="Arial" w:eastAsia="Calibri" w:hAnsi="Arial" w:cs="Arial"/>
          <w:sz w:val="24"/>
          <w:szCs w:val="24"/>
          <w:lang w:eastAsia="en-GB"/>
        </w:rPr>
        <w:t xml:space="preserve">In London there is a higher proportion of </w:t>
      </w:r>
      <w:r w:rsidR="008E1729">
        <w:rPr>
          <w:rFonts w:ascii="Arial" w:eastAsia="Calibri" w:hAnsi="Arial" w:cs="Arial"/>
          <w:sz w:val="24"/>
          <w:szCs w:val="24"/>
          <w:lang w:eastAsia="en-GB"/>
        </w:rPr>
        <w:t xml:space="preserve">people in the 20-39 year age group compared to Croydon.  This can probably be explained by the fact that London is a working capital </w:t>
      </w:r>
      <w:r w:rsidR="009C11F5">
        <w:rPr>
          <w:rFonts w:ascii="Arial" w:eastAsia="Calibri" w:hAnsi="Arial" w:cs="Arial"/>
          <w:sz w:val="24"/>
          <w:szCs w:val="24"/>
          <w:lang w:eastAsia="en-GB"/>
        </w:rPr>
        <w:t>and this cohort are the younger, more mobile workforce in the prime years of their careers.</w:t>
      </w:r>
    </w:p>
    <w:p w:rsidR="008E1729" w:rsidRDefault="008E1729" w:rsidP="008E1729">
      <w:pPr>
        <w:spacing w:after="200" w:line="276" w:lineRule="auto"/>
        <w:rPr>
          <w:rFonts w:ascii="Arial" w:eastAsia="Calibri" w:hAnsi="Arial" w:cs="Arial"/>
          <w:sz w:val="24"/>
          <w:szCs w:val="24"/>
          <w:lang w:eastAsia="en-GB"/>
        </w:rPr>
      </w:pPr>
      <w:r w:rsidRPr="003A0EA8">
        <w:rPr>
          <w:rFonts w:ascii="Arial" w:eastAsia="Calibri" w:hAnsi="Arial" w:cs="Arial"/>
          <w:sz w:val="24"/>
          <w:szCs w:val="24"/>
          <w:u w:val="single"/>
          <w:lang w:eastAsia="en-GB"/>
        </w:rPr>
        <w:t xml:space="preserve">Figure </w:t>
      </w:r>
      <w:r>
        <w:rPr>
          <w:rFonts w:ascii="Arial" w:eastAsia="Calibri" w:hAnsi="Arial" w:cs="Arial"/>
          <w:sz w:val="24"/>
          <w:szCs w:val="24"/>
          <w:u w:val="single"/>
          <w:lang w:eastAsia="en-GB"/>
        </w:rPr>
        <w:t>2</w:t>
      </w:r>
      <w:r w:rsidRPr="003A0EA8">
        <w:rPr>
          <w:rFonts w:ascii="Arial" w:eastAsia="Calibri" w:hAnsi="Arial" w:cs="Arial"/>
          <w:sz w:val="24"/>
          <w:szCs w:val="24"/>
          <w:u w:val="single"/>
          <w:lang w:eastAsia="en-GB"/>
        </w:rPr>
        <w:t xml:space="preserve"> – </w:t>
      </w:r>
      <w:r>
        <w:rPr>
          <w:rFonts w:ascii="Arial" w:eastAsia="Calibri" w:hAnsi="Arial" w:cs="Arial"/>
          <w:sz w:val="24"/>
          <w:szCs w:val="24"/>
          <w:u w:val="single"/>
          <w:lang w:eastAsia="en-GB"/>
        </w:rPr>
        <w:t>Age Profile in Croydon</w:t>
      </w:r>
    </w:p>
    <w:p w:rsidR="007D20C2" w:rsidRPr="009C11F5" w:rsidRDefault="008E1729" w:rsidP="009C11F5">
      <w:pPr>
        <w:spacing w:after="200" w:line="276" w:lineRule="auto"/>
        <w:rPr>
          <w:rFonts w:ascii="Arial" w:eastAsia="Calibri" w:hAnsi="Arial" w:cs="Arial"/>
          <w:sz w:val="24"/>
          <w:szCs w:val="24"/>
          <w:u w:val="single"/>
          <w:lang w:eastAsia="en-GB"/>
        </w:rPr>
      </w:pPr>
      <w:r>
        <w:rPr>
          <w:noProof/>
          <w:lang w:eastAsia="en-GB"/>
        </w:rPr>
        <w:drawing>
          <wp:inline distT="0" distB="0" distL="0" distR="0" wp14:anchorId="75EA6A2C" wp14:editId="3CF807D4">
            <wp:extent cx="4198620" cy="2461260"/>
            <wp:effectExtent l="19050" t="19050" r="11430" b="15240"/>
            <wp:docPr id="13970" name="Picture 4" descr="C:\Users\281609\OneDrive - London Borough of Croydon\Documents\Documents - Main\EF Work\1_WORKFILES_SCIO_Corporate\Borough Profile\1_POPULATION\Population from PHE Prfofile.png"/>
            <wp:cNvGraphicFramePr/>
            <a:graphic xmlns:a="http://schemas.openxmlformats.org/drawingml/2006/main">
              <a:graphicData uri="http://schemas.openxmlformats.org/drawingml/2006/picture">
                <pic:pic xmlns:pic="http://schemas.openxmlformats.org/drawingml/2006/picture">
                  <pic:nvPicPr>
                    <pic:cNvPr id="5" name="Picture 4" descr="C:\Users\281609\OneDrive - London Borough of Croydon\Documents\Documents - Main\EF Work\1_WORKFILES_SCIO_Corporate\Borough Profile\1_POPULATION\Population from PHE Prfofile.png"/>
                    <pic:cNvPicPr/>
                  </pic:nvPicPr>
                  <pic:blipFill rotWithShape="1">
                    <a:blip r:embed="rId81" cstate="print">
                      <a:extLst>
                        <a:ext uri="{28A0092B-C50C-407E-A947-70E740481C1C}">
                          <a14:useLocalDpi xmlns:a14="http://schemas.microsoft.com/office/drawing/2010/main" val="0"/>
                        </a:ext>
                      </a:extLst>
                    </a:blip>
                    <a:srcRect t="6328"/>
                    <a:stretch/>
                  </pic:blipFill>
                  <pic:spPr bwMode="auto">
                    <a:xfrm>
                      <a:off x="0" y="0"/>
                      <a:ext cx="4198620" cy="2461260"/>
                    </a:xfrm>
                    <a:prstGeom prst="rect">
                      <a:avLst/>
                    </a:prstGeom>
                    <a:noFill/>
                    <a:ln>
                      <a:solidFill>
                        <a:sysClr val="windowText" lastClr="000000"/>
                      </a:solidFill>
                    </a:ln>
                  </pic:spPr>
                </pic:pic>
              </a:graphicData>
            </a:graphic>
          </wp:inline>
        </w:drawing>
      </w:r>
      <w:r w:rsidR="007B0710" w:rsidRPr="007B0710">
        <w:rPr>
          <w:rFonts w:ascii="Arial" w:eastAsia="Calibri" w:hAnsi="Arial" w:cs="Arial"/>
          <w:sz w:val="20"/>
          <w:szCs w:val="20"/>
          <w:lang w:eastAsia="en-GB"/>
        </w:rPr>
        <w:t>Source : PHE Profile</w:t>
      </w:r>
      <w:r>
        <w:rPr>
          <w:rFonts w:ascii="Arial" w:eastAsia="Calibri" w:hAnsi="Arial" w:cs="Arial"/>
          <w:sz w:val="20"/>
          <w:szCs w:val="20"/>
          <w:lang w:eastAsia="en-GB"/>
        </w:rPr>
        <w:t xml:space="preserve"> and ONS, MYE, 2016</w:t>
      </w:r>
    </w:p>
    <w:p w:rsidR="009C11F5" w:rsidRDefault="009C11F5" w:rsidP="006A31AE">
      <w:pPr>
        <w:spacing w:after="0" w:line="240" w:lineRule="auto"/>
        <w:outlineLvl w:val="1"/>
        <w:rPr>
          <w:rFonts w:ascii="Arial" w:eastAsia="Times New Roman" w:hAnsi="Arial" w:cs="Arial"/>
          <w:b/>
          <w:bCs/>
          <w:color w:val="00B050"/>
          <w:sz w:val="28"/>
          <w:szCs w:val="24"/>
          <w:lang w:eastAsia="en-GB"/>
        </w:rPr>
      </w:pPr>
    </w:p>
    <w:p w:rsidR="00E71517" w:rsidRDefault="00E71517" w:rsidP="006A31AE">
      <w:pPr>
        <w:spacing w:after="0" w:line="240" w:lineRule="auto"/>
        <w:outlineLvl w:val="1"/>
        <w:rPr>
          <w:rFonts w:ascii="Arial" w:eastAsia="Times New Roman" w:hAnsi="Arial" w:cs="Arial"/>
          <w:b/>
          <w:bCs/>
          <w:color w:val="00B050"/>
          <w:sz w:val="28"/>
          <w:szCs w:val="24"/>
          <w:lang w:eastAsia="en-GB"/>
        </w:rPr>
      </w:pPr>
    </w:p>
    <w:p w:rsidR="00F81669" w:rsidRDefault="00F81669"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Births and deaths</w:t>
      </w: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The number of live births in Croydon rose dramatically from just over 5,200 a year in 2009 to around 5,900 in 2012. Despite a drop to 5,600 in 2013, the annual birth numbers gradually rose each year, from 2013-2016.  The latest figure for 2017 has seen a reduction to a similar level as 2011 at 5,761. </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lastRenderedPageBreak/>
        <w:t>Latest figures</w:t>
      </w:r>
      <w:r w:rsidR="0098309E">
        <w:rPr>
          <w:rFonts w:ascii="Arial" w:eastAsia="Calibri" w:hAnsi="Arial" w:cs="Arial"/>
          <w:sz w:val="24"/>
          <w:szCs w:val="24"/>
          <w:lang w:eastAsia="en-GB"/>
        </w:rPr>
        <w:t xml:space="preserve"> (ONS </w:t>
      </w:r>
      <w:r w:rsidR="00220CDA" w:rsidRPr="00220CDA">
        <w:rPr>
          <w:rFonts w:ascii="Arial" w:eastAsia="Calibri" w:hAnsi="Arial" w:cs="Arial"/>
          <w:sz w:val="24"/>
          <w:szCs w:val="24"/>
          <w:lang w:eastAsia="en-GB"/>
        </w:rPr>
        <w:t>Live births : country of birth of mother and area of usual residence‚ 2017</w:t>
      </w:r>
      <w:r w:rsidR="0098309E">
        <w:rPr>
          <w:rFonts w:ascii="Arial" w:eastAsia="Calibri" w:hAnsi="Arial" w:cs="Arial"/>
          <w:sz w:val="24"/>
          <w:szCs w:val="24"/>
          <w:lang w:eastAsia="en-GB"/>
        </w:rPr>
        <w:t>)</w:t>
      </w:r>
      <w:r w:rsidRPr="006A31AE">
        <w:rPr>
          <w:rFonts w:ascii="Arial" w:eastAsia="Calibri" w:hAnsi="Arial" w:cs="Arial"/>
          <w:sz w:val="24"/>
          <w:szCs w:val="24"/>
          <w:lang w:eastAsia="en-GB"/>
        </w:rPr>
        <w:t xml:space="preserve"> show that Croydon has a higher proportion of mothers who were born outside of the UK (52.1%) compared to the national average (29.2%). However, the London average across London is higher than in Croydon (57.9%).</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In the last 10 years the life expectancy from birth in Croydon has progressively increased. For males the life expectancy from birth has increased from 77.4 years in 2004-2006 to 80.3 years in 2014-2016; similarly life expectancy from birth for females has increased from 81.2 years to 83.6 years over the same period.</w:t>
      </w:r>
    </w:p>
    <w:p w:rsidR="006A31AE" w:rsidRPr="006A31AE" w:rsidRDefault="006A31AE" w:rsidP="006A31AE">
      <w:pPr>
        <w:spacing w:after="200" w:line="276" w:lineRule="auto"/>
        <w:rPr>
          <w:rFonts w:ascii="Arial" w:eastAsia="Calibri" w:hAnsi="Arial" w:cs="Arial"/>
          <w:noProof/>
          <w:sz w:val="24"/>
          <w:szCs w:val="24"/>
          <w:lang w:eastAsia="en-GB"/>
        </w:rPr>
      </w:pPr>
      <w:r w:rsidRPr="006A31AE">
        <w:rPr>
          <w:rFonts w:ascii="Arial" w:eastAsia="Calibri" w:hAnsi="Arial" w:cs="Arial"/>
          <w:sz w:val="24"/>
          <w:szCs w:val="24"/>
          <w:lang w:eastAsia="en-GB"/>
        </w:rPr>
        <w:t xml:space="preserve">There were 2,287 deaths in Croydon in 2013 which steadily peaked to 2,578 in 2015 to again drop in 2016 to 2,424. The latest 2017 figures show that deaths in Croydon have gone up again to 2,518. </w:t>
      </w:r>
      <w:r w:rsidR="00F81669">
        <w:rPr>
          <w:rFonts w:ascii="Arial" w:eastAsia="Calibri" w:hAnsi="Arial" w:cs="Arial"/>
          <w:sz w:val="24"/>
          <w:szCs w:val="24"/>
          <w:lang w:eastAsia="en-GB"/>
        </w:rPr>
        <w:t>However, t</w:t>
      </w:r>
      <w:r w:rsidRPr="006A31AE">
        <w:rPr>
          <w:rFonts w:ascii="Arial" w:eastAsia="Calibri" w:hAnsi="Arial" w:cs="Arial"/>
          <w:sz w:val="24"/>
          <w:szCs w:val="24"/>
          <w:lang w:eastAsia="en-GB"/>
        </w:rPr>
        <w:t xml:space="preserve">here has still been a net </w:t>
      </w:r>
      <w:r w:rsidR="00440B59">
        <w:rPr>
          <w:rFonts w:ascii="Arial" w:eastAsia="Calibri" w:hAnsi="Arial" w:cs="Arial"/>
          <w:sz w:val="24"/>
          <w:szCs w:val="24"/>
          <w:lang w:eastAsia="en-GB"/>
        </w:rPr>
        <w:t>population increase</w:t>
      </w:r>
      <w:r w:rsidRPr="006A31AE">
        <w:rPr>
          <w:rFonts w:ascii="Arial" w:eastAsia="Calibri" w:hAnsi="Arial" w:cs="Arial"/>
          <w:sz w:val="24"/>
          <w:szCs w:val="24"/>
          <w:lang w:eastAsia="en-GB"/>
        </w:rPr>
        <w:t xml:space="preserve"> over this period.</w:t>
      </w:r>
      <w:r w:rsidRPr="006A31AE">
        <w:rPr>
          <w:rFonts w:ascii="Arial" w:eastAsia="Calibri" w:hAnsi="Arial" w:cs="Arial"/>
          <w:noProof/>
          <w:sz w:val="24"/>
          <w:szCs w:val="24"/>
          <w:lang w:eastAsia="en-GB"/>
        </w:rPr>
        <w:t xml:space="preserve"> </w:t>
      </w:r>
    </w:p>
    <w:p w:rsidR="006A31AE" w:rsidRDefault="006A31AE" w:rsidP="006A31AE">
      <w:pPr>
        <w:spacing w:after="0" w:line="240" w:lineRule="auto"/>
        <w:outlineLvl w:val="1"/>
        <w:rPr>
          <w:rFonts w:ascii="Arial" w:eastAsia="Times New Roman" w:hAnsi="Arial" w:cs="Arial"/>
          <w:b/>
          <w:bCs/>
          <w:color w:val="00B050"/>
          <w:sz w:val="28"/>
          <w:szCs w:val="24"/>
          <w:lang w:eastAsia="en-GB"/>
        </w:rPr>
      </w:pPr>
    </w:p>
    <w:p w:rsidR="00F81669" w:rsidRPr="006A31AE" w:rsidRDefault="00F81669"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Migration</w:t>
      </w: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Based on the latest figures for 2016, domestic migration has had little impact on the growth of the Croydon population. 20,700 people moved into the borough whilst 23,700 people left the borough to go to other areas of the UK. </w:t>
      </w:r>
    </w:p>
    <w:p w:rsidR="006A31AE" w:rsidRDefault="006A31AE" w:rsidP="002648E0">
      <w:pPr>
        <w:spacing w:after="200" w:line="276" w:lineRule="auto"/>
        <w:jc w:val="both"/>
        <w:rPr>
          <w:rFonts w:ascii="Arial" w:eastAsia="Calibri" w:hAnsi="Arial" w:cs="Arial"/>
          <w:sz w:val="24"/>
          <w:szCs w:val="24"/>
          <w:lang w:eastAsia="en-GB"/>
        </w:rPr>
      </w:pPr>
      <w:r w:rsidRPr="006A31AE">
        <w:rPr>
          <w:rFonts w:ascii="Arial" w:eastAsia="Calibri" w:hAnsi="Arial" w:cs="Arial"/>
          <w:sz w:val="24"/>
          <w:szCs w:val="24"/>
          <w:lang w:eastAsia="en-GB"/>
        </w:rPr>
        <w:t>The international inflows into Croydon continue to exceed the international outflows and this results in more migrants from outside the UK. For 2016, the ONS has estimated that around 11% of the Croydon population is made up of members from the EU and about 8% come from the rest of the World.</w:t>
      </w:r>
    </w:p>
    <w:p w:rsidR="0098309E" w:rsidRPr="006A31AE" w:rsidRDefault="0098309E" w:rsidP="002648E0">
      <w:pPr>
        <w:spacing w:after="200" w:line="276" w:lineRule="auto"/>
        <w:jc w:val="both"/>
        <w:rPr>
          <w:rFonts w:ascii="Arial" w:eastAsia="Calibri" w:hAnsi="Arial" w:cs="Arial"/>
          <w:sz w:val="24"/>
          <w:szCs w:val="24"/>
          <w:lang w:eastAsia="en-GB"/>
        </w:rPr>
      </w:pPr>
      <w:r>
        <w:rPr>
          <w:rFonts w:ascii="Arial" w:eastAsia="Calibri" w:hAnsi="Arial" w:cs="Arial"/>
          <w:sz w:val="24"/>
          <w:szCs w:val="24"/>
          <w:lang w:eastAsia="en-GB"/>
        </w:rPr>
        <w:t>The increase in international inflows in Croydon could be due to Croydon being home to a Borders Agency (Home Office) which would encourage more migrants to the borough.</w:t>
      </w:r>
    </w:p>
    <w:p w:rsidR="006A31AE" w:rsidRPr="003A0EA8" w:rsidRDefault="006A31AE" w:rsidP="006A31AE">
      <w:pPr>
        <w:spacing w:after="200" w:line="276" w:lineRule="auto"/>
        <w:rPr>
          <w:rFonts w:ascii="Arial" w:eastAsia="Calibri" w:hAnsi="Arial" w:cs="Arial"/>
          <w:sz w:val="24"/>
          <w:szCs w:val="24"/>
          <w:u w:val="single"/>
          <w:lang w:eastAsia="en-GB"/>
        </w:rPr>
      </w:pPr>
      <w:r w:rsidRPr="003A0EA8">
        <w:rPr>
          <w:rFonts w:ascii="Arial" w:eastAsia="Calibri" w:hAnsi="Arial" w:cs="Arial"/>
          <w:sz w:val="24"/>
          <w:szCs w:val="24"/>
          <w:u w:val="single"/>
          <w:lang w:eastAsia="en-GB"/>
        </w:rPr>
        <w:t xml:space="preserve">Figure </w:t>
      </w:r>
      <w:r w:rsidR="009C11F5">
        <w:rPr>
          <w:rFonts w:ascii="Arial" w:eastAsia="Calibri" w:hAnsi="Arial" w:cs="Arial"/>
          <w:sz w:val="24"/>
          <w:szCs w:val="24"/>
          <w:u w:val="single"/>
          <w:lang w:eastAsia="en-GB"/>
        </w:rPr>
        <w:t>3</w:t>
      </w:r>
      <w:r w:rsidRPr="003A0EA8">
        <w:rPr>
          <w:rFonts w:ascii="Arial" w:eastAsia="Calibri" w:hAnsi="Arial" w:cs="Arial"/>
          <w:sz w:val="24"/>
          <w:szCs w:val="24"/>
          <w:u w:val="single"/>
          <w:lang w:eastAsia="en-GB"/>
        </w:rPr>
        <w:t xml:space="preserve"> – International migration flows</w:t>
      </w:r>
    </w:p>
    <w:p w:rsidR="006A31AE" w:rsidRPr="006A31AE" w:rsidRDefault="006A31AE" w:rsidP="00F81669">
      <w:pPr>
        <w:spacing w:after="0" w:line="240"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23EAA7A0" wp14:editId="7C2D65B6">
            <wp:extent cx="4340957" cy="2600960"/>
            <wp:effectExtent l="19050" t="19050" r="21590" b="2794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393970" cy="2632724"/>
                    </a:xfrm>
                    <a:prstGeom prst="rect">
                      <a:avLst/>
                    </a:prstGeom>
                    <a:noFill/>
                    <a:ln>
                      <a:solidFill>
                        <a:sysClr val="windowText" lastClr="000000"/>
                      </a:solidFill>
                    </a:ln>
                  </pic:spPr>
                </pic:pic>
              </a:graphicData>
            </a:graphic>
          </wp:inline>
        </w:drawing>
      </w:r>
    </w:p>
    <w:p w:rsidR="006A31AE" w:rsidRPr="00435235" w:rsidRDefault="006A31AE" w:rsidP="00F81669">
      <w:pPr>
        <w:spacing w:after="0" w:line="240" w:lineRule="auto"/>
        <w:rPr>
          <w:rFonts w:ascii="Arial" w:eastAsia="Calibri" w:hAnsi="Arial" w:cs="Arial"/>
          <w:sz w:val="20"/>
          <w:szCs w:val="20"/>
          <w:lang w:eastAsia="en-GB"/>
        </w:rPr>
      </w:pPr>
      <w:r w:rsidRPr="00435235">
        <w:rPr>
          <w:rFonts w:ascii="Arial" w:eastAsia="Calibri" w:hAnsi="Arial" w:cs="Arial"/>
          <w:sz w:val="20"/>
          <w:szCs w:val="20"/>
          <w:lang w:eastAsia="en-GB"/>
        </w:rPr>
        <w:t>Source: ONS Migration statistics.</w:t>
      </w:r>
    </w:p>
    <w:p w:rsidR="006A31AE" w:rsidRPr="006A31AE" w:rsidRDefault="006A31AE" w:rsidP="006A31AE">
      <w:pPr>
        <w:spacing w:after="200" w:line="276" w:lineRule="auto"/>
        <w:rPr>
          <w:rFonts w:ascii="Arial" w:eastAsia="Calibri" w:hAnsi="Arial" w:cs="Arial"/>
          <w:sz w:val="24"/>
          <w:szCs w:val="24"/>
          <w:lang w:eastAsia="en-GB"/>
        </w:rPr>
      </w:pPr>
    </w:p>
    <w:p w:rsidR="0098309E" w:rsidRDefault="0098309E" w:rsidP="006A31AE">
      <w:pPr>
        <w:spacing w:after="0" w:line="240" w:lineRule="auto"/>
        <w:outlineLvl w:val="0"/>
        <w:rPr>
          <w:rFonts w:ascii="Arial" w:eastAsia="Times New Roman" w:hAnsi="Arial" w:cs="Arial"/>
          <w:b/>
          <w:bCs/>
          <w:color w:val="701471"/>
          <w:sz w:val="28"/>
          <w:szCs w:val="24"/>
          <w:lang w:eastAsia="en-GB"/>
        </w:rPr>
      </w:pPr>
      <w:bookmarkStart w:id="2" w:name="_Our_residents"/>
      <w:bookmarkEnd w:id="2"/>
    </w:p>
    <w:p w:rsidR="0098309E" w:rsidRDefault="0098309E" w:rsidP="006A31AE">
      <w:pPr>
        <w:spacing w:after="0" w:line="240" w:lineRule="auto"/>
        <w:outlineLvl w:val="0"/>
        <w:rPr>
          <w:rFonts w:ascii="Arial" w:eastAsia="Times New Roman" w:hAnsi="Arial" w:cs="Arial"/>
          <w:b/>
          <w:bCs/>
          <w:color w:val="701471"/>
          <w:sz w:val="28"/>
          <w:szCs w:val="24"/>
          <w:lang w:eastAsia="en-GB"/>
        </w:rPr>
      </w:pPr>
    </w:p>
    <w:p w:rsidR="0098309E" w:rsidRDefault="0098309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Our residents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Ethnicity</w:t>
      </w:r>
    </w:p>
    <w:p w:rsidR="006A31AE" w:rsidRPr="006A31AE" w:rsidRDefault="006A31AE" w:rsidP="006A31AE">
      <w:pPr>
        <w:spacing w:after="0" w:line="276" w:lineRule="auto"/>
        <w:rPr>
          <w:rFonts w:ascii="Arial" w:eastAsia="Calibri" w:hAnsi="Arial" w:cs="Arial"/>
          <w:sz w:val="24"/>
          <w:szCs w:val="24"/>
          <w:lang w:eastAsia="en-GB"/>
        </w:rPr>
      </w:pPr>
    </w:p>
    <w:p w:rsid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Croydon has a diverse population. As with other London boroughs Croydon has a higher proportion of residents from black and minority ethnic (BME) backgrounds than the national average.</w:t>
      </w:r>
      <w:r w:rsidR="00344BD5">
        <w:rPr>
          <w:rFonts w:ascii="Arial" w:eastAsia="Calibri" w:hAnsi="Arial" w:cs="Arial"/>
          <w:sz w:val="24"/>
          <w:szCs w:val="24"/>
          <w:lang w:eastAsia="en-GB"/>
        </w:rPr>
        <w:t xml:space="preserve">  </w:t>
      </w:r>
      <w:r w:rsidRPr="006A31AE">
        <w:rPr>
          <w:rFonts w:ascii="Arial" w:eastAsia="Calibri" w:hAnsi="Arial" w:cs="Arial"/>
          <w:sz w:val="24"/>
          <w:szCs w:val="24"/>
          <w:lang w:eastAsia="en-GB"/>
        </w:rPr>
        <w:t xml:space="preserve">Figure </w:t>
      </w:r>
      <w:r w:rsidR="00344BD5">
        <w:rPr>
          <w:rFonts w:ascii="Arial" w:eastAsia="Calibri" w:hAnsi="Arial" w:cs="Arial"/>
          <w:sz w:val="24"/>
          <w:szCs w:val="24"/>
          <w:lang w:eastAsia="en-GB"/>
        </w:rPr>
        <w:t>4</w:t>
      </w:r>
      <w:r w:rsidRPr="006A31AE">
        <w:rPr>
          <w:rFonts w:ascii="Arial" w:eastAsia="Calibri" w:hAnsi="Arial" w:cs="Arial"/>
          <w:sz w:val="24"/>
          <w:szCs w:val="24"/>
          <w:lang w:eastAsia="en-GB"/>
        </w:rPr>
        <w:t xml:space="preserve"> clearly shows that the younger population was more diverse than the older population in Croydon in 2011.</w:t>
      </w:r>
    </w:p>
    <w:p w:rsidR="00344BD5" w:rsidRPr="006A31AE" w:rsidRDefault="00344BD5" w:rsidP="006A31AE">
      <w:pPr>
        <w:spacing w:after="200" w:line="276" w:lineRule="auto"/>
        <w:rPr>
          <w:rFonts w:ascii="Arial" w:eastAsia="Calibri" w:hAnsi="Arial" w:cs="Arial"/>
          <w:sz w:val="24"/>
          <w:szCs w:val="24"/>
          <w:lang w:eastAsia="en-GB"/>
        </w:rPr>
      </w:pPr>
    </w:p>
    <w:p w:rsidR="006A31AE" w:rsidRPr="003A0EA8" w:rsidRDefault="006A31AE" w:rsidP="006A31AE">
      <w:pPr>
        <w:spacing w:after="200" w:line="276" w:lineRule="auto"/>
        <w:rPr>
          <w:rFonts w:ascii="Arial" w:eastAsia="Calibri" w:hAnsi="Arial" w:cs="Arial"/>
          <w:sz w:val="24"/>
          <w:szCs w:val="24"/>
          <w:u w:val="single"/>
          <w:lang w:eastAsia="en-GB"/>
        </w:rPr>
      </w:pPr>
      <w:r w:rsidRPr="003A0EA8">
        <w:rPr>
          <w:rFonts w:ascii="Arial" w:eastAsia="Calibri" w:hAnsi="Arial" w:cs="Arial"/>
          <w:sz w:val="24"/>
          <w:szCs w:val="24"/>
          <w:u w:val="single"/>
          <w:lang w:eastAsia="en-GB"/>
        </w:rPr>
        <w:t xml:space="preserve">Figure </w:t>
      </w:r>
      <w:r w:rsidR="009C11F5">
        <w:rPr>
          <w:rFonts w:ascii="Arial" w:eastAsia="Calibri" w:hAnsi="Arial" w:cs="Arial"/>
          <w:sz w:val="24"/>
          <w:szCs w:val="24"/>
          <w:u w:val="single"/>
          <w:lang w:eastAsia="en-GB"/>
        </w:rPr>
        <w:t>4</w:t>
      </w:r>
      <w:r w:rsidRPr="003A0EA8">
        <w:rPr>
          <w:rFonts w:ascii="Arial" w:eastAsia="Calibri" w:hAnsi="Arial" w:cs="Arial"/>
          <w:sz w:val="24"/>
          <w:szCs w:val="24"/>
          <w:u w:val="single"/>
          <w:lang w:eastAsia="en-GB"/>
        </w:rPr>
        <w:t xml:space="preserve"> – Ethnic group by age</w:t>
      </w:r>
    </w:p>
    <w:p w:rsidR="006A31AE" w:rsidRPr="006A31AE" w:rsidRDefault="006A31AE" w:rsidP="00435235">
      <w:pPr>
        <w:spacing w:after="0" w:line="240"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74A3E6FB" wp14:editId="4EE132BA">
            <wp:extent cx="4264660" cy="2479040"/>
            <wp:effectExtent l="0" t="0" r="2540" b="0"/>
            <wp:docPr id="1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275338" cy="2485247"/>
                    </a:xfrm>
                    <a:prstGeom prst="rect">
                      <a:avLst/>
                    </a:prstGeom>
                    <a:noFill/>
                    <a:ln>
                      <a:noFill/>
                    </a:ln>
                    <a:effectLst/>
                    <a:extLst/>
                  </pic:spPr>
                </pic:pic>
              </a:graphicData>
            </a:graphic>
          </wp:inline>
        </w:drawing>
      </w:r>
    </w:p>
    <w:p w:rsidR="006A31AE" w:rsidRPr="00435235" w:rsidRDefault="006A31AE" w:rsidP="00435235">
      <w:pPr>
        <w:spacing w:after="0" w:line="240" w:lineRule="auto"/>
        <w:rPr>
          <w:rFonts w:ascii="Arial" w:eastAsia="Calibri" w:hAnsi="Arial" w:cs="Arial"/>
          <w:sz w:val="20"/>
          <w:szCs w:val="20"/>
          <w:lang w:eastAsia="en-GB"/>
        </w:rPr>
      </w:pPr>
      <w:r w:rsidRPr="00435235">
        <w:rPr>
          <w:rFonts w:ascii="Arial" w:eastAsia="Calibri" w:hAnsi="Arial" w:cs="Arial"/>
          <w:sz w:val="20"/>
          <w:szCs w:val="20"/>
          <w:lang w:eastAsia="en-GB"/>
        </w:rPr>
        <w:t>Source: ONS 2011 Census</w:t>
      </w:r>
    </w:p>
    <w:p w:rsidR="006A31AE" w:rsidRDefault="006A31AE" w:rsidP="006A31AE">
      <w:pPr>
        <w:spacing w:after="0" w:line="240" w:lineRule="auto"/>
        <w:outlineLvl w:val="1"/>
        <w:rPr>
          <w:rFonts w:ascii="Arial" w:eastAsia="Times New Roman" w:hAnsi="Arial" w:cs="Arial"/>
          <w:b/>
          <w:bCs/>
          <w:sz w:val="28"/>
          <w:szCs w:val="24"/>
          <w:lang w:eastAsia="en-GB"/>
        </w:rPr>
      </w:pPr>
    </w:p>
    <w:p w:rsidR="00344BD5" w:rsidRDefault="00344BD5" w:rsidP="006A31AE">
      <w:pPr>
        <w:spacing w:after="0" w:line="240" w:lineRule="auto"/>
        <w:outlineLvl w:val="1"/>
        <w:rPr>
          <w:rFonts w:ascii="Arial" w:eastAsia="Times New Roman" w:hAnsi="Arial" w:cs="Arial"/>
          <w:b/>
          <w:bCs/>
          <w:sz w:val="28"/>
          <w:szCs w:val="24"/>
          <w:lang w:eastAsia="en-GB"/>
        </w:rPr>
      </w:pPr>
    </w:p>
    <w:p w:rsidR="006A31AE" w:rsidRDefault="00F81669" w:rsidP="006A31AE">
      <w:pPr>
        <w:spacing w:after="200" w:line="276" w:lineRule="auto"/>
        <w:rPr>
          <w:rFonts w:ascii="Arial" w:eastAsia="Calibri" w:hAnsi="Arial" w:cs="Arial"/>
          <w:sz w:val="24"/>
          <w:szCs w:val="24"/>
          <w:lang w:eastAsia="en-GB"/>
        </w:rPr>
      </w:pPr>
      <w:r>
        <w:rPr>
          <w:rFonts w:ascii="Arial" w:eastAsia="Calibri" w:hAnsi="Arial" w:cs="Arial"/>
          <w:sz w:val="24"/>
          <w:szCs w:val="24"/>
          <w:lang w:eastAsia="en-GB"/>
        </w:rPr>
        <w:t>Table 1</w:t>
      </w:r>
      <w:r w:rsidR="006A31AE" w:rsidRPr="006A31AE">
        <w:rPr>
          <w:rFonts w:ascii="Arial" w:eastAsia="Calibri" w:hAnsi="Arial" w:cs="Arial"/>
          <w:sz w:val="24"/>
          <w:szCs w:val="24"/>
          <w:lang w:eastAsia="en-GB"/>
        </w:rPr>
        <w:t xml:space="preserve"> shows more up to date demographic projections from the GLA.  Based on these, the proportion of Asian and Black residents in Croydon has been increasing since the 2011 Census. The proportion of White population is predicted to decrease by almost 10% by 2021. It will be interesting to see </w:t>
      </w:r>
      <w:r w:rsidR="00E43D8E">
        <w:rPr>
          <w:rFonts w:ascii="Arial" w:eastAsia="Calibri" w:hAnsi="Arial" w:cs="Arial"/>
          <w:sz w:val="24"/>
          <w:szCs w:val="24"/>
          <w:lang w:eastAsia="en-GB"/>
        </w:rPr>
        <w:t xml:space="preserve">whether </w:t>
      </w:r>
      <w:r w:rsidR="006A31AE" w:rsidRPr="006A31AE">
        <w:rPr>
          <w:rFonts w:ascii="Arial" w:eastAsia="Calibri" w:hAnsi="Arial" w:cs="Arial"/>
          <w:sz w:val="24"/>
          <w:szCs w:val="24"/>
          <w:lang w:eastAsia="en-GB"/>
        </w:rPr>
        <w:t xml:space="preserve">the 2021 Census </w:t>
      </w:r>
      <w:r w:rsidR="00E43D8E">
        <w:rPr>
          <w:rFonts w:ascii="Arial" w:eastAsia="Calibri" w:hAnsi="Arial" w:cs="Arial"/>
          <w:sz w:val="24"/>
          <w:szCs w:val="24"/>
          <w:lang w:eastAsia="en-GB"/>
        </w:rPr>
        <w:t>will confirm</w:t>
      </w:r>
      <w:r w:rsidR="006A31AE" w:rsidRPr="006A31AE">
        <w:rPr>
          <w:rFonts w:ascii="Arial" w:eastAsia="Calibri" w:hAnsi="Arial" w:cs="Arial"/>
          <w:sz w:val="24"/>
          <w:szCs w:val="24"/>
          <w:lang w:eastAsia="en-GB"/>
        </w:rPr>
        <w:t xml:space="preserve"> </w:t>
      </w:r>
      <w:r w:rsidR="00E43D8E">
        <w:rPr>
          <w:rFonts w:ascii="Arial" w:eastAsia="Calibri" w:hAnsi="Arial" w:cs="Arial"/>
          <w:sz w:val="24"/>
          <w:szCs w:val="24"/>
          <w:lang w:eastAsia="en-GB"/>
        </w:rPr>
        <w:t>all the ethnic proportions forecast by the GLA’s 2015 projections</w:t>
      </w:r>
      <w:r w:rsidR="006A31AE" w:rsidRPr="006A31AE">
        <w:rPr>
          <w:rFonts w:ascii="Arial" w:eastAsia="Calibri" w:hAnsi="Arial" w:cs="Arial"/>
          <w:sz w:val="24"/>
          <w:szCs w:val="24"/>
          <w:lang w:eastAsia="en-GB"/>
        </w:rPr>
        <w:t>.</w:t>
      </w:r>
    </w:p>
    <w:p w:rsidR="00344BD5" w:rsidRDefault="00344BD5" w:rsidP="006A31AE">
      <w:pPr>
        <w:spacing w:after="200" w:line="276" w:lineRule="auto"/>
        <w:rPr>
          <w:rFonts w:ascii="Arial" w:eastAsia="Calibri" w:hAnsi="Arial" w:cs="Arial"/>
          <w:sz w:val="24"/>
          <w:szCs w:val="24"/>
          <w:lang w:eastAsia="en-GB"/>
        </w:rPr>
      </w:pPr>
    </w:p>
    <w:p w:rsidR="00344BD5" w:rsidRPr="006A31AE" w:rsidRDefault="00344BD5" w:rsidP="006A31AE">
      <w:pPr>
        <w:spacing w:after="200" w:line="276" w:lineRule="auto"/>
        <w:rPr>
          <w:rFonts w:ascii="Arial" w:eastAsia="Calibri" w:hAnsi="Arial" w:cs="Arial"/>
          <w:sz w:val="24"/>
          <w:szCs w:val="24"/>
          <w:lang w:eastAsia="en-GB"/>
        </w:rPr>
      </w:pPr>
    </w:p>
    <w:p w:rsidR="00344BD5" w:rsidRDefault="009C11F5" w:rsidP="006A31AE">
      <w:pPr>
        <w:spacing w:after="0" w:line="276" w:lineRule="auto"/>
        <w:rPr>
          <w:rFonts w:ascii="Arial" w:eastAsia="Calibri" w:hAnsi="Arial" w:cs="Arial"/>
          <w:sz w:val="24"/>
          <w:szCs w:val="24"/>
          <w:u w:val="single"/>
          <w:lang w:eastAsia="en-GB"/>
        </w:rPr>
      </w:pPr>
      <w:r>
        <w:rPr>
          <w:rFonts w:ascii="Arial" w:eastAsia="Calibri" w:hAnsi="Arial" w:cs="Arial"/>
          <w:sz w:val="24"/>
          <w:szCs w:val="24"/>
          <w:u w:val="single"/>
          <w:lang w:eastAsia="en-GB"/>
        </w:rPr>
        <w:t xml:space="preserve">Table 1 </w:t>
      </w:r>
      <w:r w:rsidR="006A31AE" w:rsidRPr="003A0EA8">
        <w:rPr>
          <w:rFonts w:ascii="Arial" w:eastAsia="Calibri" w:hAnsi="Arial" w:cs="Arial"/>
          <w:sz w:val="24"/>
          <w:szCs w:val="24"/>
          <w:u w:val="single"/>
          <w:lang w:eastAsia="en-GB"/>
        </w:rPr>
        <w:t xml:space="preserve">– Croydon </w:t>
      </w:r>
      <w:r>
        <w:rPr>
          <w:rFonts w:ascii="Arial" w:eastAsia="Calibri" w:hAnsi="Arial" w:cs="Arial"/>
          <w:sz w:val="24"/>
          <w:szCs w:val="24"/>
          <w:u w:val="single"/>
          <w:lang w:eastAsia="en-GB"/>
        </w:rPr>
        <w:t>Ethnic Group</w:t>
      </w:r>
      <w:r w:rsidR="006A31AE" w:rsidRPr="003A0EA8">
        <w:rPr>
          <w:rFonts w:ascii="Arial" w:eastAsia="Calibri" w:hAnsi="Arial" w:cs="Arial"/>
          <w:sz w:val="24"/>
          <w:szCs w:val="24"/>
          <w:u w:val="single"/>
          <w:lang w:eastAsia="en-GB"/>
        </w:rPr>
        <w:t xml:space="preserve"> Profile</w:t>
      </w:r>
    </w:p>
    <w:p w:rsidR="006A31AE" w:rsidRPr="003A0EA8" w:rsidRDefault="006A31AE" w:rsidP="006A31AE">
      <w:pPr>
        <w:spacing w:after="0" w:line="276" w:lineRule="auto"/>
        <w:rPr>
          <w:rFonts w:ascii="Arial" w:eastAsia="Calibri" w:hAnsi="Arial" w:cs="Arial"/>
          <w:sz w:val="24"/>
          <w:szCs w:val="24"/>
          <w:u w:val="single"/>
          <w:lang w:eastAsia="en-GB"/>
        </w:rPr>
      </w:pPr>
    </w:p>
    <w:tbl>
      <w:tblPr>
        <w:tblW w:w="6040" w:type="dxa"/>
        <w:tblLook w:val="04A0" w:firstRow="1" w:lastRow="0" w:firstColumn="1" w:lastColumn="0" w:noHBand="0" w:noVBand="1"/>
      </w:tblPr>
      <w:tblGrid>
        <w:gridCol w:w="1365"/>
        <w:gridCol w:w="779"/>
        <w:gridCol w:w="779"/>
        <w:gridCol w:w="779"/>
        <w:gridCol w:w="779"/>
        <w:gridCol w:w="780"/>
        <w:gridCol w:w="779"/>
      </w:tblGrid>
      <w:tr w:rsidR="006A31AE" w:rsidRPr="006A31AE" w:rsidTr="006A31AE">
        <w:trPr>
          <w:trHeight w:val="828"/>
        </w:trPr>
        <w:tc>
          <w:tcPr>
            <w:tcW w:w="13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rPr>
                <w:rFonts w:ascii="Arial" w:eastAsia="Times New Roman" w:hAnsi="Arial" w:cs="Arial"/>
                <w:b/>
                <w:bCs/>
                <w:color w:val="000000"/>
                <w:lang w:eastAsia="en-GB"/>
              </w:rPr>
            </w:pPr>
            <w:r w:rsidRPr="006A31AE">
              <w:rPr>
                <w:rFonts w:ascii="Arial" w:eastAsia="Times New Roman" w:hAnsi="Arial" w:cs="Arial"/>
                <w:b/>
                <w:bCs/>
                <w:color w:val="000000"/>
                <w:lang w:eastAsia="en-GB"/>
              </w:rPr>
              <w:t xml:space="preserve">Ethnic Group / Year      </w:t>
            </w:r>
          </w:p>
        </w:tc>
        <w:tc>
          <w:tcPr>
            <w:tcW w:w="779" w:type="dxa"/>
            <w:tcBorders>
              <w:top w:val="single" w:sz="4" w:space="0" w:color="auto"/>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b/>
                <w:bCs/>
                <w:color w:val="000000"/>
                <w:lang w:eastAsia="en-GB"/>
              </w:rPr>
            </w:pPr>
            <w:r w:rsidRPr="006A31AE">
              <w:rPr>
                <w:rFonts w:ascii="Arial" w:eastAsia="Times New Roman" w:hAnsi="Arial" w:cs="Arial"/>
                <w:b/>
                <w:bCs/>
                <w:color w:val="000000"/>
                <w:lang w:eastAsia="en-GB"/>
              </w:rPr>
              <w:t>2011</w:t>
            </w:r>
          </w:p>
        </w:tc>
        <w:tc>
          <w:tcPr>
            <w:tcW w:w="779" w:type="dxa"/>
            <w:tcBorders>
              <w:top w:val="single" w:sz="4" w:space="0" w:color="auto"/>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b/>
                <w:bCs/>
                <w:color w:val="000000"/>
                <w:lang w:eastAsia="en-GB"/>
              </w:rPr>
            </w:pPr>
            <w:r w:rsidRPr="006A31AE">
              <w:rPr>
                <w:rFonts w:ascii="Arial" w:eastAsia="Times New Roman" w:hAnsi="Arial" w:cs="Arial"/>
                <w:b/>
                <w:bCs/>
                <w:color w:val="000000"/>
                <w:lang w:eastAsia="en-GB"/>
              </w:rPr>
              <w:t>2017</w:t>
            </w:r>
          </w:p>
        </w:tc>
        <w:tc>
          <w:tcPr>
            <w:tcW w:w="779" w:type="dxa"/>
            <w:tcBorders>
              <w:top w:val="single" w:sz="4" w:space="0" w:color="auto"/>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b/>
                <w:bCs/>
                <w:color w:val="000000"/>
                <w:lang w:eastAsia="en-GB"/>
              </w:rPr>
            </w:pPr>
            <w:r w:rsidRPr="006A31AE">
              <w:rPr>
                <w:rFonts w:ascii="Arial" w:eastAsia="Times New Roman" w:hAnsi="Arial" w:cs="Arial"/>
                <w:b/>
                <w:bCs/>
                <w:color w:val="000000"/>
                <w:lang w:eastAsia="en-GB"/>
              </w:rPr>
              <w:t>2018</w:t>
            </w:r>
          </w:p>
        </w:tc>
        <w:tc>
          <w:tcPr>
            <w:tcW w:w="779" w:type="dxa"/>
            <w:tcBorders>
              <w:top w:val="single" w:sz="4" w:space="0" w:color="auto"/>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b/>
                <w:bCs/>
                <w:color w:val="000000"/>
                <w:lang w:eastAsia="en-GB"/>
              </w:rPr>
            </w:pPr>
            <w:r w:rsidRPr="006A31AE">
              <w:rPr>
                <w:rFonts w:ascii="Arial" w:eastAsia="Times New Roman" w:hAnsi="Arial" w:cs="Arial"/>
                <w:b/>
                <w:bCs/>
                <w:color w:val="000000"/>
                <w:lang w:eastAsia="en-GB"/>
              </w:rPr>
              <w:t>2019</w:t>
            </w:r>
          </w:p>
        </w:tc>
        <w:tc>
          <w:tcPr>
            <w:tcW w:w="780" w:type="dxa"/>
            <w:tcBorders>
              <w:top w:val="single" w:sz="4" w:space="0" w:color="auto"/>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b/>
                <w:bCs/>
                <w:color w:val="000000"/>
                <w:lang w:eastAsia="en-GB"/>
              </w:rPr>
            </w:pPr>
            <w:r w:rsidRPr="006A31AE">
              <w:rPr>
                <w:rFonts w:ascii="Arial" w:eastAsia="Times New Roman" w:hAnsi="Arial" w:cs="Arial"/>
                <w:b/>
                <w:bCs/>
                <w:color w:val="000000"/>
                <w:lang w:eastAsia="en-GB"/>
              </w:rPr>
              <w:t>2020</w:t>
            </w:r>
          </w:p>
        </w:tc>
        <w:tc>
          <w:tcPr>
            <w:tcW w:w="779" w:type="dxa"/>
            <w:tcBorders>
              <w:top w:val="single" w:sz="4" w:space="0" w:color="auto"/>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b/>
                <w:bCs/>
                <w:color w:val="000000"/>
                <w:lang w:eastAsia="en-GB"/>
              </w:rPr>
            </w:pPr>
            <w:r w:rsidRPr="006A31AE">
              <w:rPr>
                <w:rFonts w:ascii="Arial" w:eastAsia="Times New Roman" w:hAnsi="Arial" w:cs="Arial"/>
                <w:b/>
                <w:bCs/>
                <w:color w:val="000000"/>
                <w:lang w:eastAsia="en-GB"/>
              </w:rPr>
              <w:t>2021</w:t>
            </w:r>
          </w:p>
        </w:tc>
      </w:tr>
      <w:tr w:rsidR="006A31AE" w:rsidRPr="006A31AE" w:rsidTr="00F81669">
        <w:trPr>
          <w:trHeight w:val="501"/>
        </w:trPr>
        <w:tc>
          <w:tcPr>
            <w:tcW w:w="1365" w:type="dxa"/>
            <w:tcBorders>
              <w:top w:val="nil"/>
              <w:left w:val="single" w:sz="4" w:space="0" w:color="auto"/>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rPr>
                <w:rFonts w:ascii="Arial" w:eastAsia="Times New Roman" w:hAnsi="Arial" w:cs="Arial"/>
                <w:b/>
                <w:bCs/>
                <w:color w:val="000000"/>
                <w:lang w:eastAsia="en-GB"/>
              </w:rPr>
            </w:pPr>
            <w:r w:rsidRPr="006A31AE">
              <w:rPr>
                <w:rFonts w:ascii="Arial" w:eastAsia="Times New Roman" w:hAnsi="Arial" w:cs="Arial"/>
                <w:b/>
                <w:bCs/>
                <w:color w:val="000000"/>
                <w:lang w:eastAsia="en-GB"/>
              </w:rPr>
              <w:t>White</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55%</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49%</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48%</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48%</w:t>
            </w:r>
          </w:p>
        </w:tc>
        <w:tc>
          <w:tcPr>
            <w:tcW w:w="780"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47%</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46%</w:t>
            </w:r>
          </w:p>
        </w:tc>
      </w:tr>
      <w:tr w:rsidR="006A31AE" w:rsidRPr="006A31AE" w:rsidTr="00F81669">
        <w:trPr>
          <w:trHeight w:val="422"/>
        </w:trPr>
        <w:tc>
          <w:tcPr>
            <w:tcW w:w="1365" w:type="dxa"/>
            <w:tcBorders>
              <w:top w:val="nil"/>
              <w:left w:val="single" w:sz="4" w:space="0" w:color="auto"/>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rPr>
                <w:rFonts w:ascii="Arial" w:eastAsia="Times New Roman" w:hAnsi="Arial" w:cs="Arial"/>
                <w:b/>
                <w:bCs/>
                <w:color w:val="000000"/>
                <w:lang w:eastAsia="en-GB"/>
              </w:rPr>
            </w:pPr>
            <w:r w:rsidRPr="006A31AE">
              <w:rPr>
                <w:rFonts w:ascii="Arial" w:eastAsia="Times New Roman" w:hAnsi="Arial" w:cs="Arial"/>
                <w:b/>
                <w:bCs/>
                <w:color w:val="000000"/>
                <w:lang w:eastAsia="en-GB"/>
              </w:rPr>
              <w:t>Mixed</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7%</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8%</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8%</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8%</w:t>
            </w:r>
          </w:p>
        </w:tc>
        <w:tc>
          <w:tcPr>
            <w:tcW w:w="780"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8%</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8%</w:t>
            </w:r>
          </w:p>
        </w:tc>
      </w:tr>
      <w:tr w:rsidR="006A31AE" w:rsidRPr="006A31AE" w:rsidTr="00F81669">
        <w:trPr>
          <w:trHeight w:val="414"/>
        </w:trPr>
        <w:tc>
          <w:tcPr>
            <w:tcW w:w="1365" w:type="dxa"/>
            <w:tcBorders>
              <w:top w:val="nil"/>
              <w:left w:val="single" w:sz="4" w:space="0" w:color="auto"/>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rPr>
                <w:rFonts w:ascii="Arial" w:eastAsia="Times New Roman" w:hAnsi="Arial" w:cs="Arial"/>
                <w:b/>
                <w:bCs/>
                <w:color w:val="000000"/>
                <w:lang w:eastAsia="en-GB"/>
              </w:rPr>
            </w:pPr>
            <w:r w:rsidRPr="006A31AE">
              <w:rPr>
                <w:rFonts w:ascii="Arial" w:eastAsia="Times New Roman" w:hAnsi="Arial" w:cs="Arial"/>
                <w:b/>
                <w:bCs/>
                <w:color w:val="000000"/>
                <w:lang w:eastAsia="en-GB"/>
              </w:rPr>
              <w:t>Asian</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16%</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19%</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19%</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19%</w:t>
            </w:r>
          </w:p>
        </w:tc>
        <w:tc>
          <w:tcPr>
            <w:tcW w:w="780"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20%</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20%</w:t>
            </w:r>
          </w:p>
        </w:tc>
      </w:tr>
      <w:tr w:rsidR="006A31AE" w:rsidRPr="006A31AE" w:rsidTr="00F81669">
        <w:trPr>
          <w:trHeight w:val="407"/>
        </w:trPr>
        <w:tc>
          <w:tcPr>
            <w:tcW w:w="1365" w:type="dxa"/>
            <w:tcBorders>
              <w:top w:val="nil"/>
              <w:left w:val="single" w:sz="4" w:space="0" w:color="auto"/>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rPr>
                <w:rFonts w:ascii="Arial" w:eastAsia="Times New Roman" w:hAnsi="Arial" w:cs="Arial"/>
                <w:b/>
                <w:bCs/>
                <w:color w:val="000000"/>
                <w:lang w:eastAsia="en-GB"/>
              </w:rPr>
            </w:pPr>
            <w:r w:rsidRPr="006A31AE">
              <w:rPr>
                <w:rFonts w:ascii="Arial" w:eastAsia="Times New Roman" w:hAnsi="Arial" w:cs="Arial"/>
                <w:b/>
                <w:bCs/>
                <w:color w:val="000000"/>
                <w:lang w:eastAsia="en-GB"/>
              </w:rPr>
              <w:t>Black</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20%</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23%</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23%</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23%</w:t>
            </w:r>
          </w:p>
        </w:tc>
        <w:tc>
          <w:tcPr>
            <w:tcW w:w="780"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24%</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24%</w:t>
            </w:r>
          </w:p>
        </w:tc>
      </w:tr>
      <w:tr w:rsidR="006A31AE" w:rsidRPr="006A31AE" w:rsidTr="00F81669">
        <w:trPr>
          <w:trHeight w:val="413"/>
        </w:trPr>
        <w:tc>
          <w:tcPr>
            <w:tcW w:w="1365" w:type="dxa"/>
            <w:tcBorders>
              <w:top w:val="nil"/>
              <w:left w:val="single" w:sz="4" w:space="0" w:color="auto"/>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rPr>
                <w:rFonts w:ascii="Arial" w:eastAsia="Times New Roman" w:hAnsi="Arial" w:cs="Arial"/>
                <w:b/>
                <w:bCs/>
                <w:color w:val="000000"/>
                <w:lang w:eastAsia="en-GB"/>
              </w:rPr>
            </w:pPr>
            <w:r w:rsidRPr="006A31AE">
              <w:rPr>
                <w:rFonts w:ascii="Arial" w:eastAsia="Times New Roman" w:hAnsi="Arial" w:cs="Arial"/>
                <w:b/>
                <w:bCs/>
                <w:color w:val="000000"/>
                <w:lang w:eastAsia="en-GB"/>
              </w:rPr>
              <w:t>Other</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2%</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2%</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2%</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2%</w:t>
            </w:r>
          </w:p>
        </w:tc>
        <w:tc>
          <w:tcPr>
            <w:tcW w:w="780"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2%</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2%</w:t>
            </w:r>
          </w:p>
        </w:tc>
      </w:tr>
      <w:tr w:rsidR="006A31AE" w:rsidRPr="006A31AE" w:rsidTr="00F81669">
        <w:trPr>
          <w:trHeight w:val="560"/>
        </w:trPr>
        <w:tc>
          <w:tcPr>
            <w:tcW w:w="1365" w:type="dxa"/>
            <w:tcBorders>
              <w:top w:val="nil"/>
              <w:left w:val="single" w:sz="4" w:space="0" w:color="auto"/>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rPr>
                <w:rFonts w:ascii="Arial" w:eastAsia="Times New Roman" w:hAnsi="Arial" w:cs="Arial"/>
                <w:b/>
                <w:bCs/>
                <w:color w:val="000000"/>
                <w:lang w:eastAsia="en-GB"/>
              </w:rPr>
            </w:pPr>
            <w:r w:rsidRPr="006A31AE">
              <w:rPr>
                <w:rFonts w:ascii="Arial" w:eastAsia="Times New Roman" w:hAnsi="Arial" w:cs="Arial"/>
                <w:b/>
                <w:bCs/>
                <w:color w:val="000000"/>
                <w:lang w:eastAsia="en-GB"/>
              </w:rPr>
              <w:t>TOTAL</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100%</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100%</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100%</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100%</w:t>
            </w:r>
          </w:p>
        </w:tc>
        <w:tc>
          <w:tcPr>
            <w:tcW w:w="780"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100%</w:t>
            </w:r>
          </w:p>
        </w:tc>
        <w:tc>
          <w:tcPr>
            <w:tcW w:w="779" w:type="dxa"/>
            <w:tcBorders>
              <w:top w:val="nil"/>
              <w:left w:val="nil"/>
              <w:bottom w:val="single" w:sz="4" w:space="0" w:color="auto"/>
              <w:right w:val="single" w:sz="4" w:space="0" w:color="auto"/>
            </w:tcBorders>
            <w:shd w:val="clear" w:color="auto" w:fill="auto"/>
            <w:vAlign w:val="center"/>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100%</w:t>
            </w:r>
          </w:p>
        </w:tc>
      </w:tr>
    </w:tbl>
    <w:p w:rsidR="006A31AE" w:rsidRPr="00435235" w:rsidRDefault="006A31AE" w:rsidP="006A31AE">
      <w:pPr>
        <w:spacing w:after="200" w:line="276" w:lineRule="auto"/>
        <w:rPr>
          <w:rFonts w:ascii="Arial" w:eastAsia="Calibri" w:hAnsi="Arial" w:cs="Arial"/>
          <w:sz w:val="20"/>
          <w:szCs w:val="20"/>
          <w:lang w:eastAsia="en-GB"/>
        </w:rPr>
      </w:pPr>
      <w:r w:rsidRPr="00435235">
        <w:rPr>
          <w:rFonts w:ascii="Arial" w:eastAsia="Calibri" w:hAnsi="Arial" w:cs="Arial"/>
          <w:sz w:val="20"/>
          <w:szCs w:val="20"/>
          <w:lang w:eastAsia="en-GB"/>
        </w:rPr>
        <w:t>Source : GLA 2015 Projections, long-term migration scenario.</w:t>
      </w:r>
    </w:p>
    <w:p w:rsid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lastRenderedPageBreak/>
        <w:t>Age and Gender</w:t>
      </w:r>
    </w:p>
    <w:p w:rsidR="006A31AE" w:rsidRPr="006A31AE" w:rsidRDefault="006A31AE" w:rsidP="006A31AE">
      <w:pPr>
        <w:spacing w:after="0" w:line="276" w:lineRule="auto"/>
        <w:rPr>
          <w:rFonts w:ascii="Arial" w:eastAsia="Calibri" w:hAnsi="Arial" w:cs="Arial"/>
          <w:color w:val="92D050"/>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Croydon has the largest population of young people in London. As can be seen from Figure 5 there is a large population of younger children and working age adults in Croydon. The proportion of residents aged 65 and over is much lower than the national average. </w:t>
      </w:r>
    </w:p>
    <w:p w:rsidR="007B0710" w:rsidRDefault="007B0710" w:rsidP="006A31AE">
      <w:pPr>
        <w:spacing w:after="0" w:line="276" w:lineRule="auto"/>
        <w:rPr>
          <w:rFonts w:ascii="Arial" w:eastAsia="Calibri" w:hAnsi="Arial" w:cs="Arial"/>
          <w:sz w:val="24"/>
          <w:szCs w:val="24"/>
          <w:u w:val="single"/>
          <w:lang w:eastAsia="en-GB"/>
        </w:rPr>
      </w:pPr>
    </w:p>
    <w:p w:rsidR="006A31AE" w:rsidRPr="003A0EA8" w:rsidRDefault="006A31AE" w:rsidP="006A31AE">
      <w:pPr>
        <w:spacing w:after="0" w:line="276" w:lineRule="auto"/>
        <w:rPr>
          <w:rFonts w:ascii="Arial" w:eastAsia="Calibri" w:hAnsi="Arial" w:cs="Arial"/>
          <w:sz w:val="24"/>
          <w:szCs w:val="24"/>
          <w:u w:val="single"/>
          <w:lang w:eastAsia="en-GB"/>
        </w:rPr>
      </w:pPr>
      <w:r w:rsidRPr="003A0EA8">
        <w:rPr>
          <w:rFonts w:ascii="Arial" w:eastAsia="Calibri" w:hAnsi="Arial" w:cs="Arial"/>
          <w:sz w:val="24"/>
          <w:szCs w:val="24"/>
          <w:u w:val="single"/>
          <w:lang w:eastAsia="en-GB"/>
        </w:rPr>
        <w:t xml:space="preserve">Figure 5 – Croydon Age and Gender Profile </w:t>
      </w:r>
    </w:p>
    <w:p w:rsidR="006A31AE" w:rsidRDefault="006A31AE" w:rsidP="00435235">
      <w:pPr>
        <w:spacing w:after="0" w:line="240"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3063FA0A" wp14:editId="067C1DC4">
            <wp:extent cx="4168140" cy="2583180"/>
            <wp:effectExtent l="0" t="0" r="3810" b="7620"/>
            <wp:docPr id="1038" name="Chart 1038"/>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rsidR="006A31AE" w:rsidRPr="00435235" w:rsidRDefault="006A31AE" w:rsidP="00435235">
      <w:pPr>
        <w:spacing w:after="0" w:line="240" w:lineRule="auto"/>
        <w:outlineLvl w:val="1"/>
        <w:rPr>
          <w:rFonts w:ascii="Arial" w:eastAsia="Times New Roman" w:hAnsi="Arial" w:cs="Arial"/>
          <w:bCs/>
          <w:sz w:val="20"/>
          <w:szCs w:val="20"/>
          <w:lang w:eastAsia="en-GB"/>
        </w:rPr>
      </w:pPr>
      <w:r w:rsidRPr="00435235">
        <w:rPr>
          <w:rFonts w:ascii="Arial" w:eastAsia="Calibri" w:hAnsi="Arial" w:cs="Arial"/>
          <w:sz w:val="20"/>
          <w:szCs w:val="20"/>
          <w:lang w:eastAsia="en-GB"/>
        </w:rPr>
        <w:t>Source : ONS, 2016-based subnational population projections</w:t>
      </w:r>
    </w:p>
    <w:p w:rsidR="006A31AE" w:rsidRPr="006A31AE" w:rsidRDefault="006A31AE" w:rsidP="006A31AE">
      <w:pPr>
        <w:spacing w:after="0" w:line="240" w:lineRule="auto"/>
        <w:outlineLvl w:val="1"/>
        <w:rPr>
          <w:rFonts w:ascii="Arial" w:eastAsia="Times New Roman" w:hAnsi="Arial" w:cs="Arial"/>
          <w:b/>
          <w:bCs/>
          <w:sz w:val="28"/>
          <w:szCs w:val="24"/>
          <w:lang w:eastAsia="en-GB"/>
        </w:rPr>
      </w:pPr>
    </w:p>
    <w:p w:rsidR="006A31AE" w:rsidRDefault="006A31AE" w:rsidP="006A31AE">
      <w:pPr>
        <w:spacing w:after="0" w:line="240" w:lineRule="auto"/>
        <w:outlineLvl w:val="1"/>
        <w:rPr>
          <w:rFonts w:ascii="Arial" w:eastAsia="Times New Roman" w:hAnsi="Arial" w:cs="Arial"/>
          <w:b/>
          <w:bCs/>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Religion</w:t>
      </w: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Just over half of respondents to the 2011 Census in Croydon stated that they were Christian. About 1 in 5 stated that they </w:t>
      </w:r>
      <w:r w:rsidRPr="006A31AE">
        <w:rPr>
          <w:rFonts w:ascii="Arial" w:eastAsia="Calibri" w:hAnsi="Arial" w:cs="Arial"/>
          <w:sz w:val="24"/>
          <w:szCs w:val="24"/>
          <w:lang w:eastAsia="en-GB"/>
        </w:rPr>
        <w:t>had no religion. Significantly 7.6% of respondents did not state their religion.</w:t>
      </w:r>
    </w:p>
    <w:p w:rsidR="006A31AE" w:rsidRPr="006A31AE" w:rsidRDefault="006A31AE" w:rsidP="006A31AE">
      <w:pPr>
        <w:spacing w:after="200" w:line="276" w:lineRule="auto"/>
        <w:rPr>
          <w:rFonts w:ascii="Arial" w:eastAsia="Calibri" w:hAnsi="Arial" w:cs="Arial"/>
          <w:sz w:val="24"/>
          <w:szCs w:val="24"/>
          <w:lang w:eastAsia="en-GB"/>
        </w:rPr>
      </w:pPr>
    </w:p>
    <w:p w:rsidR="006A31AE" w:rsidRDefault="006A31AE" w:rsidP="00435235">
      <w:pPr>
        <w:spacing w:after="0" w:line="240" w:lineRule="auto"/>
        <w:rPr>
          <w:rFonts w:ascii="Arial" w:eastAsia="Calibri" w:hAnsi="Arial" w:cs="Arial"/>
          <w:sz w:val="24"/>
          <w:szCs w:val="24"/>
          <w:u w:val="single"/>
          <w:lang w:eastAsia="en-GB"/>
        </w:rPr>
      </w:pPr>
      <w:r w:rsidRPr="003A0EA8">
        <w:rPr>
          <w:rFonts w:ascii="Arial" w:eastAsia="Calibri" w:hAnsi="Arial" w:cs="Arial"/>
          <w:sz w:val="24"/>
          <w:szCs w:val="24"/>
          <w:u w:val="single"/>
          <w:lang w:eastAsia="en-GB"/>
        </w:rPr>
        <w:t>Figure 6 – Religion of Croydon residents</w:t>
      </w:r>
      <w:r w:rsidRPr="006A31AE">
        <w:rPr>
          <w:rFonts w:ascii="Arial" w:eastAsia="Calibri" w:hAnsi="Arial" w:cs="Arial"/>
          <w:noProof/>
          <w:sz w:val="24"/>
          <w:szCs w:val="24"/>
          <w:lang w:eastAsia="en-GB"/>
        </w:rPr>
        <w:drawing>
          <wp:inline distT="0" distB="0" distL="0" distR="0" wp14:anchorId="628E8A4B" wp14:editId="115C51E4">
            <wp:extent cx="4305300" cy="2697480"/>
            <wp:effectExtent l="0" t="0" r="0" b="762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rsidR="006A31AE" w:rsidRPr="00435235" w:rsidRDefault="006A31AE" w:rsidP="001248CC">
      <w:pPr>
        <w:spacing w:before="120" w:after="0" w:line="240" w:lineRule="auto"/>
        <w:rPr>
          <w:rFonts w:ascii="Arial" w:eastAsia="Calibri" w:hAnsi="Arial" w:cs="Arial"/>
          <w:sz w:val="20"/>
          <w:szCs w:val="20"/>
          <w:lang w:eastAsia="en-GB"/>
        </w:rPr>
      </w:pPr>
      <w:r w:rsidRPr="00435235">
        <w:rPr>
          <w:rFonts w:ascii="Arial" w:eastAsia="Calibri" w:hAnsi="Arial" w:cs="Arial"/>
          <w:sz w:val="20"/>
          <w:szCs w:val="20"/>
          <w:lang w:eastAsia="en-GB"/>
        </w:rPr>
        <w:t>Source: ONS Census 2011 Table KS209EW</w:t>
      </w:r>
    </w:p>
    <w:p w:rsidR="00BF5C95" w:rsidRDefault="00BF5C95" w:rsidP="006A31AE">
      <w:pPr>
        <w:spacing w:after="0" w:line="240" w:lineRule="auto"/>
        <w:outlineLvl w:val="1"/>
        <w:rPr>
          <w:rFonts w:ascii="Arial" w:eastAsia="Times New Roman" w:hAnsi="Arial" w:cs="Arial"/>
          <w:b/>
          <w:bCs/>
          <w:color w:val="00B050"/>
          <w:sz w:val="28"/>
          <w:szCs w:val="24"/>
          <w:lang w:eastAsia="en-GB"/>
        </w:rPr>
      </w:pPr>
    </w:p>
    <w:p w:rsidR="0098309E" w:rsidRDefault="0098309E"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Sexual orientation</w:t>
      </w:r>
    </w:p>
    <w:p w:rsidR="006A31AE" w:rsidRPr="006A31AE" w:rsidRDefault="006A31AE" w:rsidP="006A31AE">
      <w:pPr>
        <w:spacing w:after="0" w:line="276" w:lineRule="auto"/>
        <w:rPr>
          <w:rFonts w:ascii="Arial" w:eastAsia="Calibri" w:hAnsi="Arial" w:cs="Arial"/>
          <w:color w:val="92D050"/>
          <w:sz w:val="24"/>
          <w:szCs w:val="24"/>
          <w:lang w:eastAsia="en-GB"/>
        </w:rPr>
      </w:pPr>
    </w:p>
    <w:p w:rsidR="004C2686"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Sexual orientation was not captured by the 2011 Census. The ONS produce regional estimates of the percentage of the population who identify themselves as gay, lesbian or bisexual. Across London it is estimated that 2.6% of the</w:t>
      </w:r>
      <w:r w:rsidR="0098309E">
        <w:rPr>
          <w:rFonts w:ascii="Arial" w:eastAsia="Calibri" w:hAnsi="Arial" w:cs="Arial"/>
          <w:sz w:val="24"/>
          <w:szCs w:val="24"/>
          <w:lang w:eastAsia="en-GB"/>
        </w:rPr>
        <w:t xml:space="preserve"> </w:t>
      </w:r>
      <w:r w:rsidRPr="006A31AE">
        <w:rPr>
          <w:rFonts w:ascii="Arial" w:eastAsia="Calibri" w:hAnsi="Arial" w:cs="Arial"/>
          <w:sz w:val="24"/>
          <w:szCs w:val="24"/>
          <w:lang w:eastAsia="en-GB"/>
        </w:rPr>
        <w:lastRenderedPageBreak/>
        <w:t>population in 2014 identified themselves as gay, lesbian or bisexual, higher than the national average of 1.6%.</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By applying the London average to the Croydon population it is estimated that there would have been around 9,800 people in Croydon in 2014 who would have identified themselves as gay, lesbian or bisexual.</w:t>
      </w:r>
      <w:r w:rsidRPr="006A31AE">
        <w:rPr>
          <w:rFonts w:ascii="Arial" w:eastAsia="Calibri" w:hAnsi="Arial" w:cs="Arial"/>
          <w:sz w:val="24"/>
          <w:szCs w:val="24"/>
          <w:vertAlign w:val="superscript"/>
          <w:lang w:eastAsia="en-GB"/>
        </w:rPr>
        <w:footnoteReference w:id="1"/>
      </w:r>
    </w:p>
    <w:p w:rsidR="004C2686" w:rsidRPr="006A31AE" w:rsidRDefault="004C2686"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Gender identity</w:t>
      </w:r>
    </w:p>
    <w:p w:rsidR="006A31AE" w:rsidRPr="006A31AE" w:rsidRDefault="006A31AE" w:rsidP="006A31AE">
      <w:pPr>
        <w:spacing w:after="0" w:line="276" w:lineRule="auto"/>
        <w:rPr>
          <w:rFonts w:ascii="Arial" w:eastAsia="Calibri" w:hAnsi="Arial" w:cs="Arial"/>
          <w:color w:val="92D050"/>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Data on the gender identity is not routinely captured. </w:t>
      </w:r>
      <w:r w:rsidR="00BF5C95">
        <w:rPr>
          <w:rFonts w:ascii="Arial" w:eastAsia="Calibri" w:hAnsi="Arial" w:cs="Arial"/>
          <w:sz w:val="24"/>
          <w:szCs w:val="24"/>
          <w:lang w:eastAsia="en-GB"/>
        </w:rPr>
        <w:t>Gender variance is when someone believes he/she is a different gender to the one he/she had at birth</w:t>
      </w:r>
      <w:r w:rsidRPr="006A31AE">
        <w:rPr>
          <w:rFonts w:ascii="Arial" w:eastAsia="Calibri" w:hAnsi="Arial" w:cs="Arial"/>
          <w:sz w:val="24"/>
          <w:szCs w:val="24"/>
        </w:rPr>
        <w:t xml:space="preserve">. This condition is thought to begin before birth and can be experienced to different degrees. The Gender Identity and Research Society </w:t>
      </w:r>
      <w:r w:rsidR="00E43D8E">
        <w:rPr>
          <w:rFonts w:ascii="Arial" w:eastAsia="Calibri" w:hAnsi="Arial" w:cs="Arial"/>
          <w:sz w:val="24"/>
          <w:szCs w:val="24"/>
        </w:rPr>
        <w:t xml:space="preserve">(GIRES) </w:t>
      </w:r>
      <w:r w:rsidRPr="006A31AE">
        <w:rPr>
          <w:rFonts w:ascii="Arial" w:eastAsia="Calibri" w:hAnsi="Arial" w:cs="Arial"/>
          <w:sz w:val="24"/>
          <w:szCs w:val="24"/>
        </w:rPr>
        <w:t>has estimated that nationally 1% of the population may be gender variant to some degree</w:t>
      </w:r>
      <w:r w:rsidR="00E43D8E">
        <w:rPr>
          <w:rFonts w:ascii="Arial" w:eastAsia="Calibri" w:hAnsi="Arial" w:cs="Arial"/>
          <w:sz w:val="24"/>
          <w:szCs w:val="24"/>
        </w:rPr>
        <w:t xml:space="preserve"> and</w:t>
      </w:r>
      <w:r w:rsidRPr="006A31AE">
        <w:rPr>
          <w:rFonts w:ascii="Arial" w:eastAsia="Calibri" w:hAnsi="Arial" w:cs="Arial"/>
          <w:sz w:val="24"/>
          <w:szCs w:val="24"/>
        </w:rPr>
        <w:t xml:space="preserve"> 0.2% of the population </w:t>
      </w:r>
      <w:r w:rsidR="00E43D8E">
        <w:rPr>
          <w:rFonts w:ascii="Arial" w:eastAsia="Calibri" w:hAnsi="Arial" w:cs="Arial"/>
          <w:sz w:val="24"/>
          <w:szCs w:val="24"/>
        </w:rPr>
        <w:t xml:space="preserve">is </w:t>
      </w:r>
      <w:r w:rsidRPr="006A31AE">
        <w:rPr>
          <w:rFonts w:ascii="Arial" w:eastAsia="Calibri" w:hAnsi="Arial" w:cs="Arial"/>
          <w:sz w:val="24"/>
          <w:szCs w:val="24"/>
        </w:rPr>
        <w:t>likely to seek medical treatment</w:t>
      </w:r>
      <w:r w:rsidR="00E43D8E">
        <w:rPr>
          <w:rFonts w:ascii="Arial" w:eastAsia="Calibri" w:hAnsi="Arial" w:cs="Arial"/>
          <w:sz w:val="24"/>
          <w:szCs w:val="24"/>
        </w:rPr>
        <w:t xml:space="preserve"> </w:t>
      </w:r>
      <w:r w:rsidRPr="006A31AE">
        <w:rPr>
          <w:rFonts w:ascii="Arial" w:eastAsia="Calibri" w:hAnsi="Arial" w:cs="Arial"/>
          <w:sz w:val="24"/>
          <w:szCs w:val="24"/>
        </w:rPr>
        <w:t>to present in the opposite gender.</w:t>
      </w:r>
      <w:r w:rsidRPr="006A31AE">
        <w:rPr>
          <w:rFonts w:ascii="Arial" w:eastAsia="Calibri" w:hAnsi="Arial" w:cs="Arial"/>
          <w:sz w:val="24"/>
          <w:szCs w:val="24"/>
          <w:vertAlign w:val="superscript"/>
        </w:rPr>
        <w:footnoteReference w:id="2"/>
      </w:r>
    </w:p>
    <w:p w:rsidR="009C11F5" w:rsidRDefault="009C11F5" w:rsidP="006A31AE">
      <w:pPr>
        <w:spacing w:after="0" w:line="240" w:lineRule="auto"/>
        <w:outlineLvl w:val="1"/>
        <w:rPr>
          <w:rFonts w:ascii="Arial" w:eastAsia="Times New Roman" w:hAnsi="Arial" w:cs="Arial"/>
          <w:b/>
          <w:bCs/>
          <w:color w:val="00B050"/>
          <w:sz w:val="28"/>
          <w:szCs w:val="24"/>
          <w:lang w:eastAsia="en-GB"/>
        </w:rPr>
      </w:pPr>
    </w:p>
    <w:p w:rsidR="00BF5C95" w:rsidRDefault="00BF5C95"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Marital status</w:t>
      </w:r>
    </w:p>
    <w:p w:rsid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2011 Census is the latest data source for marital status. As Figure 7 shows the majority of adults aged over 16 in Croydon were either married or single in 2011.</w:t>
      </w:r>
    </w:p>
    <w:p w:rsidR="00344BD5" w:rsidRDefault="00344BD5" w:rsidP="006A31AE">
      <w:pPr>
        <w:spacing w:after="0" w:line="276" w:lineRule="auto"/>
        <w:rPr>
          <w:rFonts w:ascii="Arial" w:eastAsia="Calibri" w:hAnsi="Arial" w:cs="Arial"/>
          <w:sz w:val="24"/>
          <w:szCs w:val="24"/>
          <w:u w:val="single"/>
          <w:lang w:eastAsia="en-GB"/>
        </w:rPr>
      </w:pPr>
    </w:p>
    <w:p w:rsidR="006A31AE" w:rsidRPr="003A0EA8" w:rsidRDefault="006A31AE" w:rsidP="006A31AE">
      <w:pPr>
        <w:spacing w:after="0" w:line="276" w:lineRule="auto"/>
        <w:rPr>
          <w:rFonts w:ascii="Arial" w:eastAsia="Calibri" w:hAnsi="Arial" w:cs="Arial"/>
          <w:sz w:val="24"/>
          <w:szCs w:val="24"/>
          <w:u w:val="single"/>
          <w:lang w:eastAsia="en-GB"/>
        </w:rPr>
      </w:pPr>
      <w:r w:rsidRPr="003A0EA8">
        <w:rPr>
          <w:rFonts w:ascii="Arial" w:eastAsia="Calibri" w:hAnsi="Arial" w:cs="Arial"/>
          <w:sz w:val="24"/>
          <w:szCs w:val="24"/>
          <w:u w:val="single"/>
          <w:lang w:eastAsia="en-GB"/>
        </w:rPr>
        <w:t>Figure 7 – Marital status of Croydon residents</w:t>
      </w:r>
    </w:p>
    <w:p w:rsidR="006A31AE" w:rsidRPr="006A31AE" w:rsidRDefault="006A31AE" w:rsidP="00435235">
      <w:pPr>
        <w:spacing w:after="0" w:line="276"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1DBE47DC" wp14:editId="27D786F5">
            <wp:extent cx="4083050" cy="2651760"/>
            <wp:effectExtent l="0" t="0" r="0" b="0"/>
            <wp:docPr id="1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srcRect/>
                    <a:stretch>
                      <a:fillRect/>
                    </a:stretch>
                  </pic:blipFill>
                  <pic:spPr bwMode="auto">
                    <a:xfrm>
                      <a:off x="0" y="0"/>
                      <a:ext cx="4126662" cy="2680084"/>
                    </a:xfrm>
                    <a:prstGeom prst="rect">
                      <a:avLst/>
                    </a:prstGeom>
                    <a:noFill/>
                  </pic:spPr>
                </pic:pic>
              </a:graphicData>
            </a:graphic>
          </wp:inline>
        </w:drawing>
      </w:r>
    </w:p>
    <w:p w:rsidR="006A31AE" w:rsidRPr="00435235" w:rsidRDefault="006A31AE" w:rsidP="00435235">
      <w:pPr>
        <w:spacing w:after="0" w:line="240" w:lineRule="auto"/>
        <w:rPr>
          <w:rFonts w:ascii="Arial" w:eastAsia="Calibri" w:hAnsi="Arial" w:cs="Arial"/>
          <w:sz w:val="20"/>
          <w:szCs w:val="20"/>
          <w:lang w:eastAsia="en-GB"/>
        </w:rPr>
      </w:pPr>
      <w:r w:rsidRPr="00435235">
        <w:rPr>
          <w:rFonts w:ascii="Arial" w:eastAsia="Calibri" w:hAnsi="Arial" w:cs="Arial"/>
          <w:sz w:val="20"/>
          <w:szCs w:val="20"/>
          <w:lang w:eastAsia="en-GB"/>
        </w:rPr>
        <w:t>Source: ONS Census 2011 Table KS103EW</w:t>
      </w:r>
    </w:p>
    <w:p w:rsidR="004C2686" w:rsidRDefault="004C2686" w:rsidP="006A31AE">
      <w:pPr>
        <w:spacing w:after="0" w:line="240" w:lineRule="auto"/>
        <w:outlineLvl w:val="1"/>
        <w:rPr>
          <w:rFonts w:ascii="Arial" w:eastAsia="Times New Roman" w:hAnsi="Arial" w:cs="Arial"/>
          <w:b/>
          <w:bCs/>
          <w:color w:val="00B050"/>
          <w:sz w:val="28"/>
          <w:szCs w:val="24"/>
          <w:lang w:eastAsia="en-GB"/>
        </w:rPr>
      </w:pPr>
    </w:p>
    <w:p w:rsidR="004C2686" w:rsidRDefault="004C2686"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4C2686" w:rsidP="006A31AE">
      <w:pPr>
        <w:spacing w:after="0" w:line="240" w:lineRule="auto"/>
        <w:outlineLvl w:val="1"/>
        <w:rPr>
          <w:rFonts w:ascii="Arial" w:eastAsia="Times New Roman" w:hAnsi="Arial" w:cs="Arial"/>
          <w:b/>
          <w:bCs/>
          <w:color w:val="00B050"/>
          <w:sz w:val="28"/>
          <w:szCs w:val="24"/>
          <w:lang w:eastAsia="en-GB"/>
        </w:rPr>
      </w:pPr>
      <w:r>
        <w:rPr>
          <w:rFonts w:ascii="Arial" w:eastAsia="Times New Roman" w:hAnsi="Arial" w:cs="Arial"/>
          <w:b/>
          <w:bCs/>
          <w:color w:val="00B050"/>
          <w:sz w:val="28"/>
          <w:szCs w:val="24"/>
          <w:lang w:eastAsia="en-GB"/>
        </w:rPr>
        <w:t>D</w:t>
      </w:r>
      <w:r w:rsidR="006A31AE" w:rsidRPr="006A31AE">
        <w:rPr>
          <w:rFonts w:ascii="Arial" w:eastAsia="Times New Roman" w:hAnsi="Arial" w:cs="Arial"/>
          <w:b/>
          <w:bCs/>
          <w:color w:val="00B050"/>
          <w:sz w:val="28"/>
          <w:szCs w:val="24"/>
          <w:lang w:eastAsia="en-GB"/>
        </w:rPr>
        <w:t>isability</w:t>
      </w:r>
    </w:p>
    <w:p w:rsidR="006A31AE" w:rsidRPr="006A31AE" w:rsidRDefault="00344BD5" w:rsidP="006A31AE">
      <w:pPr>
        <w:spacing w:after="200" w:line="276" w:lineRule="auto"/>
        <w:rPr>
          <w:rFonts w:ascii="Arial" w:eastAsia="Calibri" w:hAnsi="Arial" w:cs="Arial"/>
          <w:sz w:val="24"/>
          <w:szCs w:val="24"/>
          <w:lang w:eastAsia="en-GB"/>
        </w:rPr>
      </w:pPr>
      <w:r>
        <w:rPr>
          <w:rFonts w:ascii="Arial" w:eastAsia="Calibri" w:hAnsi="Arial" w:cs="Arial"/>
          <w:sz w:val="24"/>
          <w:szCs w:val="24"/>
          <w:lang w:eastAsia="en-GB"/>
        </w:rPr>
        <w:t>T</w:t>
      </w:r>
      <w:r w:rsidR="006A31AE" w:rsidRPr="006A31AE">
        <w:rPr>
          <w:rFonts w:ascii="Arial" w:eastAsia="Calibri" w:hAnsi="Arial" w:cs="Arial"/>
          <w:sz w:val="24"/>
          <w:szCs w:val="24"/>
          <w:lang w:eastAsia="en-GB"/>
        </w:rPr>
        <w:t>here is not one comprehensive figure that can give a true picture of the total number of people with a disability in Croydon.</w:t>
      </w:r>
    </w:p>
    <w:p w:rsid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The 2011 Census figures showed that 14.1% of the population in Croydon had their day-to-day activities limited to some extent by a long-term health problem or disability. </w:t>
      </w:r>
      <w:r w:rsidRPr="006A31AE">
        <w:rPr>
          <w:rFonts w:ascii="Arial" w:eastAsia="Calibri" w:hAnsi="Arial" w:cs="Arial"/>
          <w:sz w:val="24"/>
          <w:szCs w:val="24"/>
          <w:lang w:eastAsia="en-GB"/>
        </w:rPr>
        <w:lastRenderedPageBreak/>
        <w:t xml:space="preserve">22,493 people had their day-to-day activities limited a lot, whilst 28,134 had their day-to-day activities limited a little. </w:t>
      </w:r>
    </w:p>
    <w:p w:rsidR="006A31AE" w:rsidRPr="003A0EA8" w:rsidRDefault="006A31AE" w:rsidP="006A31AE">
      <w:pPr>
        <w:spacing w:after="200" w:line="276" w:lineRule="auto"/>
        <w:rPr>
          <w:rFonts w:ascii="Arial" w:eastAsia="Calibri" w:hAnsi="Arial" w:cs="Arial"/>
          <w:sz w:val="24"/>
          <w:szCs w:val="24"/>
          <w:u w:val="single"/>
          <w:lang w:eastAsia="en-GB"/>
        </w:rPr>
      </w:pPr>
      <w:r w:rsidRPr="003A0EA8">
        <w:rPr>
          <w:rFonts w:ascii="Arial" w:eastAsia="Calibri" w:hAnsi="Arial" w:cs="Arial"/>
          <w:sz w:val="24"/>
          <w:szCs w:val="24"/>
          <w:u w:val="single"/>
          <w:lang w:eastAsia="en-GB"/>
        </w:rPr>
        <w:t>Figure 8 – Proportion of people whose day-to-day activities were limited by a long-term health problem or disability</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12613C26" wp14:editId="374D3ACC">
            <wp:extent cx="4019680" cy="2420471"/>
            <wp:effectExtent l="0" t="0" r="0" b="0"/>
            <wp:docPr id="1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cstate="print"/>
                    <a:srcRect/>
                    <a:stretch>
                      <a:fillRect/>
                    </a:stretch>
                  </pic:blipFill>
                  <pic:spPr bwMode="auto">
                    <a:xfrm>
                      <a:off x="0" y="0"/>
                      <a:ext cx="4019770" cy="2420525"/>
                    </a:xfrm>
                    <a:prstGeom prst="rect">
                      <a:avLst/>
                    </a:prstGeom>
                    <a:noFill/>
                  </pic:spPr>
                </pic:pic>
              </a:graphicData>
            </a:graphic>
          </wp:inline>
        </w:drawing>
      </w:r>
      <w:r w:rsidRPr="00435235">
        <w:rPr>
          <w:rFonts w:ascii="Arial" w:eastAsia="Calibri" w:hAnsi="Arial" w:cs="Arial"/>
          <w:sz w:val="20"/>
          <w:szCs w:val="20"/>
          <w:lang w:eastAsia="en-GB"/>
        </w:rPr>
        <w:t>Source: ONS 2011 Census Table DC3302EW</w:t>
      </w:r>
    </w:p>
    <w:p w:rsidR="00BF5C95" w:rsidRDefault="00BF5C95" w:rsidP="006A31AE">
      <w:pPr>
        <w:spacing w:after="0" w:line="240" w:lineRule="auto"/>
        <w:outlineLvl w:val="0"/>
        <w:rPr>
          <w:rFonts w:ascii="Arial" w:eastAsia="Times New Roman" w:hAnsi="Arial" w:cs="Arial"/>
          <w:b/>
          <w:bCs/>
          <w:sz w:val="28"/>
          <w:szCs w:val="24"/>
          <w:lang w:eastAsia="en-GB"/>
        </w:rPr>
      </w:pPr>
      <w:bookmarkStart w:id="3" w:name="_Our_communities"/>
      <w:bookmarkEnd w:id="3"/>
    </w:p>
    <w:p w:rsidR="00BF5C95" w:rsidRPr="006A31AE" w:rsidRDefault="00BF5C95" w:rsidP="006A31AE">
      <w:pPr>
        <w:spacing w:after="0" w:line="240" w:lineRule="auto"/>
        <w:outlineLvl w:val="0"/>
        <w:rPr>
          <w:rFonts w:ascii="Arial" w:eastAsia="Times New Roman" w:hAnsi="Arial" w:cs="Arial"/>
          <w:b/>
          <w:bCs/>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Our communities</w:t>
      </w:r>
    </w:p>
    <w:p w:rsidR="00BF5C95" w:rsidRPr="00E1567D" w:rsidRDefault="00BF5C95" w:rsidP="006A31AE">
      <w:pPr>
        <w:spacing w:after="0" w:line="240" w:lineRule="auto"/>
        <w:outlineLvl w:val="0"/>
        <w:rPr>
          <w:rFonts w:ascii="Arial" w:eastAsia="Times New Roman" w:hAnsi="Arial" w:cs="Arial"/>
          <w:b/>
          <w:bCs/>
          <w:color w:val="000000" w:themeColor="text1"/>
          <w:sz w:val="28"/>
          <w:szCs w:val="24"/>
          <w:lang w:eastAsia="en-GB"/>
        </w:rPr>
      </w:pPr>
    </w:p>
    <w:p w:rsidR="006A31AE" w:rsidRPr="006A31AE" w:rsidRDefault="006A31AE" w:rsidP="006A31AE">
      <w:pPr>
        <w:spacing w:after="200" w:line="276" w:lineRule="auto"/>
        <w:rPr>
          <w:rFonts w:ascii="Arial" w:eastAsia="Calibri" w:hAnsi="Arial" w:cs="Arial"/>
          <w:sz w:val="24"/>
          <w:szCs w:val="24"/>
        </w:rPr>
      </w:pPr>
      <w:r w:rsidRPr="00E1567D">
        <w:rPr>
          <w:rFonts w:ascii="Arial" w:eastAsia="Calibri" w:hAnsi="Arial" w:cs="Arial"/>
          <w:color w:val="000000" w:themeColor="text1"/>
          <w:sz w:val="24"/>
          <w:szCs w:val="24"/>
        </w:rPr>
        <w:t xml:space="preserve">Croydon is home to a diverse range of communities as can be seen </w:t>
      </w:r>
      <w:r w:rsidRPr="006A31AE">
        <w:rPr>
          <w:rFonts w:ascii="Arial" w:eastAsia="Calibri" w:hAnsi="Arial" w:cs="Arial"/>
          <w:sz w:val="24"/>
          <w:szCs w:val="24"/>
        </w:rPr>
        <w:t xml:space="preserve">from the map, (Figure 8) below. </w:t>
      </w: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 xml:space="preserve">The 2011 Output Area Classification (OAC) which the map depicts uses 2011 Census data to identify areas with similar demographic characteristics. </w:t>
      </w:r>
    </w:p>
    <w:p w:rsidR="006A31AE" w:rsidRPr="00E1567D" w:rsidRDefault="006A31AE" w:rsidP="00344BD5">
      <w:pPr>
        <w:spacing w:after="0" w:line="240" w:lineRule="auto"/>
        <w:rPr>
          <w:rFonts w:ascii="Arial" w:eastAsia="Calibri" w:hAnsi="Arial" w:cs="Arial"/>
          <w:color w:val="000000" w:themeColor="text1"/>
          <w:sz w:val="24"/>
          <w:szCs w:val="24"/>
        </w:rPr>
      </w:pPr>
      <w:r w:rsidRPr="006A31AE">
        <w:rPr>
          <w:rFonts w:ascii="Arial" w:eastAsia="Calibri" w:hAnsi="Arial" w:cs="Arial"/>
          <w:sz w:val="24"/>
          <w:szCs w:val="24"/>
        </w:rPr>
        <w:t xml:space="preserve">Overall the OAC shows that the north of the borough is more culturally diverse and is more similar to other London areas. The south of the borough has more in common with more </w:t>
      </w:r>
      <w:r w:rsidRPr="00E1567D">
        <w:rPr>
          <w:rFonts w:ascii="Arial" w:eastAsia="Calibri" w:hAnsi="Arial" w:cs="Arial"/>
          <w:color w:val="000000" w:themeColor="text1"/>
          <w:sz w:val="24"/>
          <w:szCs w:val="24"/>
        </w:rPr>
        <w:t>rural areas such as neighbouring Surrey.</w:t>
      </w:r>
    </w:p>
    <w:p w:rsidR="00142100" w:rsidRPr="00E1567D" w:rsidRDefault="00142100" w:rsidP="006A31AE">
      <w:pPr>
        <w:spacing w:after="200" w:line="276" w:lineRule="auto"/>
        <w:rPr>
          <w:rFonts w:ascii="Arial" w:eastAsia="Calibri" w:hAnsi="Arial" w:cs="Arial"/>
          <w:color w:val="000000" w:themeColor="text1"/>
          <w:sz w:val="24"/>
          <w:szCs w:val="24"/>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Figure 8 – Map of OAC groups in Croydon</w:t>
      </w:r>
    </w:p>
    <w:p w:rsidR="006A31AE" w:rsidRPr="006A31AE" w:rsidRDefault="00095A6E" w:rsidP="00095A6E">
      <w:pPr>
        <w:spacing w:after="200" w:line="276" w:lineRule="auto"/>
        <w:ind w:left="993"/>
        <w:rPr>
          <w:rFonts w:ascii="Arial" w:eastAsia="Calibri" w:hAnsi="Arial" w:cs="Arial"/>
          <w:color w:val="92D050"/>
          <w:sz w:val="24"/>
          <w:szCs w:val="24"/>
          <w:lang w:eastAsia="en-GB"/>
        </w:rPr>
      </w:pPr>
      <w:r w:rsidRPr="006A31AE">
        <w:rPr>
          <w:rFonts w:ascii="Arial" w:eastAsia="Calibri" w:hAnsi="Arial" w:cs="Arial"/>
          <w:noProof/>
          <w:color w:val="92D050"/>
          <w:sz w:val="24"/>
          <w:szCs w:val="24"/>
          <w:lang w:eastAsia="en-GB"/>
        </w:rPr>
        <w:drawing>
          <wp:anchor distT="0" distB="0" distL="114300" distR="114300" simplePos="0" relativeHeight="251754496" behindDoc="0" locked="0" layoutInCell="1" allowOverlap="1">
            <wp:simplePos x="0" y="0"/>
            <wp:positionH relativeFrom="column">
              <wp:posOffset>-635</wp:posOffset>
            </wp:positionH>
            <wp:positionV relativeFrom="paragraph">
              <wp:posOffset>4445</wp:posOffset>
            </wp:positionV>
            <wp:extent cx="2750820" cy="4048125"/>
            <wp:effectExtent l="0" t="0" r="0" b="9525"/>
            <wp:wrapSquare wrapText="bothSides"/>
            <wp:docPr id="1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50820" cy="4048125"/>
                    </a:xfrm>
                    <a:prstGeom prst="rect">
                      <a:avLst/>
                    </a:prstGeom>
                    <a:noFill/>
                  </pic:spPr>
                </pic:pic>
              </a:graphicData>
            </a:graphic>
            <wp14:sizeRelH relativeFrom="margin">
              <wp14:pctWidth>0</wp14:pctWidth>
            </wp14:sizeRelH>
            <wp14:sizeRelV relativeFrom="margin">
              <wp14:pctHeight>0</wp14:pctHeight>
            </wp14:sizeRelV>
          </wp:anchor>
        </w:drawing>
      </w:r>
    </w:p>
    <w:p w:rsidR="00344BD5" w:rsidRDefault="00344BD5" w:rsidP="006A31AE">
      <w:pPr>
        <w:spacing w:after="0" w:line="240" w:lineRule="auto"/>
        <w:outlineLvl w:val="1"/>
        <w:rPr>
          <w:rFonts w:ascii="Arial" w:eastAsia="Times New Roman" w:hAnsi="Arial" w:cs="Arial"/>
          <w:b/>
          <w:bCs/>
          <w:color w:val="00B050"/>
          <w:sz w:val="28"/>
          <w:szCs w:val="24"/>
          <w:lang w:eastAsia="en-GB"/>
        </w:rPr>
      </w:pPr>
    </w:p>
    <w:p w:rsidR="00344BD5" w:rsidRDefault="00344BD5" w:rsidP="006A31AE">
      <w:pPr>
        <w:spacing w:after="0" w:line="240" w:lineRule="auto"/>
        <w:outlineLvl w:val="1"/>
        <w:rPr>
          <w:rFonts w:ascii="Arial" w:eastAsia="Times New Roman" w:hAnsi="Arial" w:cs="Arial"/>
          <w:b/>
          <w:bCs/>
          <w:color w:val="00B050"/>
          <w:sz w:val="28"/>
          <w:szCs w:val="24"/>
          <w:lang w:eastAsia="en-GB"/>
        </w:rPr>
      </w:pPr>
    </w:p>
    <w:p w:rsidR="00344BD5" w:rsidRDefault="00344BD5" w:rsidP="006A31AE">
      <w:pPr>
        <w:spacing w:after="0" w:line="240" w:lineRule="auto"/>
        <w:outlineLvl w:val="1"/>
        <w:rPr>
          <w:rFonts w:ascii="Arial" w:eastAsia="Times New Roman" w:hAnsi="Arial" w:cs="Arial"/>
          <w:b/>
          <w:bCs/>
          <w:color w:val="00B050"/>
          <w:sz w:val="28"/>
          <w:szCs w:val="24"/>
          <w:lang w:eastAsia="en-GB"/>
        </w:rPr>
      </w:pPr>
    </w:p>
    <w:p w:rsidR="00344BD5" w:rsidRDefault="00344BD5" w:rsidP="006A31AE">
      <w:pPr>
        <w:spacing w:after="0" w:line="240" w:lineRule="auto"/>
        <w:outlineLvl w:val="1"/>
        <w:rPr>
          <w:rFonts w:ascii="Arial" w:eastAsia="Times New Roman" w:hAnsi="Arial" w:cs="Arial"/>
          <w:b/>
          <w:bCs/>
          <w:color w:val="00B050"/>
          <w:sz w:val="28"/>
          <w:szCs w:val="24"/>
          <w:lang w:eastAsia="en-GB"/>
        </w:rPr>
      </w:pPr>
    </w:p>
    <w:p w:rsidR="00344BD5" w:rsidRDefault="00344BD5" w:rsidP="006A31AE">
      <w:pPr>
        <w:spacing w:after="0" w:line="240" w:lineRule="auto"/>
        <w:outlineLvl w:val="1"/>
        <w:rPr>
          <w:rFonts w:ascii="Arial" w:eastAsia="Times New Roman" w:hAnsi="Arial" w:cs="Arial"/>
          <w:b/>
          <w:bCs/>
          <w:color w:val="00B050"/>
          <w:sz w:val="28"/>
          <w:szCs w:val="24"/>
          <w:lang w:eastAsia="en-GB"/>
        </w:rPr>
      </w:pPr>
    </w:p>
    <w:p w:rsidR="00344BD5" w:rsidRDefault="00344BD5" w:rsidP="006A31AE">
      <w:pPr>
        <w:spacing w:after="0" w:line="240" w:lineRule="auto"/>
        <w:outlineLvl w:val="1"/>
        <w:rPr>
          <w:rFonts w:ascii="Arial" w:eastAsia="Times New Roman" w:hAnsi="Arial" w:cs="Arial"/>
          <w:b/>
          <w:bCs/>
          <w:color w:val="00B050"/>
          <w:sz w:val="28"/>
          <w:szCs w:val="24"/>
          <w:lang w:eastAsia="en-GB"/>
        </w:rPr>
      </w:pPr>
    </w:p>
    <w:p w:rsidR="00344BD5" w:rsidRDefault="00344BD5" w:rsidP="006A31AE">
      <w:pPr>
        <w:spacing w:after="0" w:line="240" w:lineRule="auto"/>
        <w:outlineLvl w:val="1"/>
        <w:rPr>
          <w:rFonts w:ascii="Arial" w:eastAsia="Times New Roman" w:hAnsi="Arial" w:cs="Arial"/>
          <w:b/>
          <w:bCs/>
          <w:color w:val="00B050"/>
          <w:sz w:val="28"/>
          <w:szCs w:val="24"/>
          <w:lang w:eastAsia="en-GB"/>
        </w:rPr>
      </w:pPr>
    </w:p>
    <w:p w:rsidR="00344BD5" w:rsidRDefault="00344BD5" w:rsidP="006A31AE">
      <w:pPr>
        <w:spacing w:after="0" w:line="240" w:lineRule="auto"/>
        <w:outlineLvl w:val="1"/>
        <w:rPr>
          <w:rFonts w:ascii="Arial" w:eastAsia="Times New Roman" w:hAnsi="Arial" w:cs="Arial"/>
          <w:b/>
          <w:bCs/>
          <w:color w:val="00B050"/>
          <w:sz w:val="28"/>
          <w:szCs w:val="24"/>
          <w:lang w:eastAsia="en-GB"/>
        </w:rPr>
      </w:pPr>
    </w:p>
    <w:p w:rsidR="00344BD5" w:rsidRDefault="00344BD5" w:rsidP="006A31AE">
      <w:pPr>
        <w:spacing w:after="0" w:line="240" w:lineRule="auto"/>
        <w:outlineLvl w:val="1"/>
        <w:rPr>
          <w:rFonts w:ascii="Arial" w:eastAsia="Times New Roman" w:hAnsi="Arial" w:cs="Arial"/>
          <w:b/>
          <w:bCs/>
          <w:color w:val="00B050"/>
          <w:sz w:val="28"/>
          <w:szCs w:val="24"/>
          <w:lang w:eastAsia="en-GB"/>
        </w:rPr>
      </w:pPr>
    </w:p>
    <w:p w:rsidR="00344BD5" w:rsidRDefault="00344BD5" w:rsidP="006A31AE">
      <w:pPr>
        <w:spacing w:after="0" w:line="240" w:lineRule="auto"/>
        <w:outlineLvl w:val="1"/>
        <w:rPr>
          <w:rFonts w:ascii="Arial" w:eastAsia="Times New Roman" w:hAnsi="Arial" w:cs="Arial"/>
          <w:b/>
          <w:bCs/>
          <w:color w:val="00B050"/>
          <w:sz w:val="28"/>
          <w:szCs w:val="24"/>
          <w:lang w:eastAsia="en-GB"/>
        </w:rPr>
      </w:pPr>
    </w:p>
    <w:p w:rsidR="00344BD5" w:rsidRDefault="00344BD5" w:rsidP="006A31AE">
      <w:pPr>
        <w:spacing w:after="0" w:line="240" w:lineRule="auto"/>
        <w:outlineLvl w:val="1"/>
        <w:rPr>
          <w:rFonts w:ascii="Arial" w:eastAsia="Times New Roman" w:hAnsi="Arial" w:cs="Arial"/>
          <w:b/>
          <w:bCs/>
          <w:color w:val="00B050"/>
          <w:sz w:val="28"/>
          <w:szCs w:val="24"/>
          <w:lang w:eastAsia="en-GB"/>
        </w:rPr>
      </w:pPr>
    </w:p>
    <w:p w:rsidR="00344BD5" w:rsidRDefault="00344BD5" w:rsidP="006A31AE">
      <w:pPr>
        <w:spacing w:after="0" w:line="240" w:lineRule="auto"/>
        <w:outlineLvl w:val="1"/>
        <w:rPr>
          <w:rFonts w:ascii="Arial" w:eastAsia="Times New Roman" w:hAnsi="Arial" w:cs="Arial"/>
          <w:b/>
          <w:bCs/>
          <w:color w:val="00B050"/>
          <w:sz w:val="28"/>
          <w:szCs w:val="24"/>
          <w:lang w:eastAsia="en-GB"/>
        </w:rPr>
      </w:pPr>
    </w:p>
    <w:p w:rsidR="00344BD5" w:rsidRDefault="00344BD5" w:rsidP="006A31AE">
      <w:pPr>
        <w:spacing w:after="0" w:line="240" w:lineRule="auto"/>
        <w:outlineLvl w:val="1"/>
        <w:rPr>
          <w:rFonts w:ascii="Arial" w:eastAsia="Times New Roman" w:hAnsi="Arial" w:cs="Arial"/>
          <w:b/>
          <w:bCs/>
          <w:color w:val="00B050"/>
          <w:sz w:val="28"/>
          <w:szCs w:val="24"/>
          <w:lang w:eastAsia="en-GB"/>
        </w:rPr>
      </w:pPr>
    </w:p>
    <w:p w:rsidR="00344BD5" w:rsidRDefault="00344BD5" w:rsidP="006A31AE">
      <w:pPr>
        <w:spacing w:after="0" w:line="240" w:lineRule="auto"/>
        <w:outlineLvl w:val="1"/>
        <w:rPr>
          <w:rFonts w:ascii="Arial" w:eastAsia="Times New Roman" w:hAnsi="Arial" w:cs="Arial"/>
          <w:b/>
          <w:bCs/>
          <w:color w:val="00B050"/>
          <w:sz w:val="28"/>
          <w:szCs w:val="24"/>
          <w:lang w:eastAsia="en-GB"/>
        </w:rPr>
      </w:pPr>
    </w:p>
    <w:p w:rsidR="00344BD5" w:rsidRDefault="00344BD5" w:rsidP="006A31AE">
      <w:pPr>
        <w:spacing w:after="0" w:line="240" w:lineRule="auto"/>
        <w:outlineLvl w:val="1"/>
        <w:rPr>
          <w:rFonts w:ascii="Arial" w:eastAsia="Times New Roman" w:hAnsi="Arial" w:cs="Arial"/>
          <w:b/>
          <w:bCs/>
          <w:color w:val="00B050"/>
          <w:sz w:val="28"/>
          <w:szCs w:val="24"/>
          <w:lang w:eastAsia="en-GB"/>
        </w:rPr>
      </w:pPr>
    </w:p>
    <w:p w:rsidR="00344BD5" w:rsidRDefault="00344BD5" w:rsidP="006A31AE">
      <w:pPr>
        <w:spacing w:after="0" w:line="240" w:lineRule="auto"/>
        <w:outlineLvl w:val="1"/>
        <w:rPr>
          <w:rFonts w:ascii="Arial" w:eastAsia="Times New Roman" w:hAnsi="Arial" w:cs="Arial"/>
          <w:b/>
          <w:bCs/>
          <w:color w:val="00B050"/>
          <w:sz w:val="28"/>
          <w:szCs w:val="24"/>
          <w:lang w:eastAsia="en-GB"/>
        </w:rPr>
      </w:pPr>
    </w:p>
    <w:p w:rsidR="00344BD5" w:rsidRDefault="00344BD5" w:rsidP="006A31AE">
      <w:pPr>
        <w:spacing w:after="0" w:line="240" w:lineRule="auto"/>
        <w:outlineLvl w:val="1"/>
        <w:rPr>
          <w:rFonts w:ascii="Arial" w:eastAsia="Times New Roman" w:hAnsi="Arial" w:cs="Arial"/>
          <w:b/>
          <w:bCs/>
          <w:color w:val="00B050"/>
          <w:sz w:val="28"/>
          <w:szCs w:val="24"/>
          <w:lang w:eastAsia="en-GB"/>
        </w:rPr>
      </w:pPr>
    </w:p>
    <w:p w:rsidR="00344BD5" w:rsidRDefault="00344BD5" w:rsidP="006A31AE">
      <w:pPr>
        <w:spacing w:after="0" w:line="240" w:lineRule="auto"/>
        <w:outlineLvl w:val="1"/>
        <w:rPr>
          <w:rFonts w:ascii="Arial" w:eastAsia="Times New Roman" w:hAnsi="Arial" w:cs="Arial"/>
          <w:b/>
          <w:bCs/>
          <w:color w:val="00B050"/>
          <w:sz w:val="28"/>
          <w:szCs w:val="24"/>
          <w:lang w:eastAsia="en-GB"/>
        </w:rPr>
      </w:pPr>
    </w:p>
    <w:p w:rsidR="00344BD5" w:rsidRDefault="00344BD5" w:rsidP="006A31AE">
      <w:pPr>
        <w:spacing w:after="0" w:line="240" w:lineRule="auto"/>
        <w:outlineLvl w:val="1"/>
        <w:rPr>
          <w:rFonts w:ascii="Arial" w:eastAsia="Times New Roman" w:hAnsi="Arial" w:cs="Arial"/>
          <w:b/>
          <w:bCs/>
          <w:color w:val="00B050"/>
          <w:sz w:val="28"/>
          <w:szCs w:val="24"/>
          <w:lang w:eastAsia="en-GB"/>
        </w:rPr>
      </w:pPr>
    </w:p>
    <w:p w:rsidR="009A4DDE" w:rsidRDefault="009A4DDE" w:rsidP="009A4DDE">
      <w:pPr>
        <w:spacing w:after="200" w:line="276" w:lineRule="auto"/>
        <w:rPr>
          <w:rFonts w:ascii="Arial" w:eastAsia="Calibri" w:hAnsi="Arial" w:cs="Arial"/>
          <w:sz w:val="20"/>
          <w:szCs w:val="20"/>
          <w:lang w:eastAsia="en-GB"/>
        </w:rPr>
      </w:pPr>
      <w:r w:rsidRPr="00435235">
        <w:rPr>
          <w:rFonts w:ascii="Arial" w:eastAsia="Calibri" w:hAnsi="Arial" w:cs="Arial"/>
          <w:sz w:val="20"/>
          <w:szCs w:val="20"/>
          <w:lang w:eastAsia="en-GB"/>
        </w:rPr>
        <w:t>Source: ONS 2011 Census</w:t>
      </w:r>
      <w:r>
        <w:rPr>
          <w:rFonts w:ascii="Arial" w:eastAsia="Calibri" w:hAnsi="Arial" w:cs="Arial"/>
          <w:sz w:val="20"/>
          <w:szCs w:val="20"/>
          <w:lang w:eastAsia="en-GB"/>
        </w:rPr>
        <w:t>.</w:t>
      </w:r>
    </w:p>
    <w:p w:rsidR="006A31AE" w:rsidRPr="006A31AE" w:rsidRDefault="006A31AE" w:rsidP="006A31AE">
      <w:pPr>
        <w:spacing w:after="0" w:line="276" w:lineRule="auto"/>
        <w:rPr>
          <w:rFonts w:ascii="Arial" w:eastAsia="Calibri" w:hAnsi="Arial" w:cs="Arial"/>
          <w:b/>
          <w:color w:val="00B050"/>
          <w:sz w:val="24"/>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Proficiency in English</w:t>
      </w: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In the 2011 Census 14.5% of people in Croydon had a language other than English recorded as their main language. The majority were recorded as speaking English well or very well. However 17.2% (2.5% of the total population) were recorded as being unable to speak English well or being unable to speak English.</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Only 5.4% of 8 to 9 year olds with English as an additional language were unable to speak English well or were unable to speak English at all. These children made up only 0.4% of all the 8 to 9 year olds in Croydon. </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proportion of people with English as an additional language who were unable to speak English well or unable to speak English increased with age. Over half (51.5%) of adults aged over 85 with English as an additional language were unable to speak English well or were unable to speak English. However, these adults made up only 2.9% of all over 85 year olds in Croydon.</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proportion of females with English as an additional language who were unable to speak English well or unable to speak English was slightly higher than for males, at 19.7% compared to 14.5%.</w:t>
      </w:r>
    </w:p>
    <w:p w:rsidR="009A4DDE" w:rsidRDefault="009A4DDE" w:rsidP="006A31AE">
      <w:pPr>
        <w:spacing w:after="200" w:line="276" w:lineRule="auto"/>
        <w:rPr>
          <w:rFonts w:ascii="Arial" w:eastAsia="Calibri" w:hAnsi="Arial" w:cs="Arial"/>
          <w:sz w:val="24"/>
          <w:szCs w:val="24"/>
          <w:lang w:eastAsia="en-GB"/>
        </w:rPr>
      </w:pPr>
    </w:p>
    <w:p w:rsidR="009A4DDE" w:rsidRDefault="009A4DDE" w:rsidP="006A31AE">
      <w:pPr>
        <w:spacing w:after="200" w:line="276" w:lineRule="auto"/>
        <w:rPr>
          <w:rFonts w:ascii="Arial" w:eastAsia="Calibri" w:hAnsi="Arial" w:cs="Arial"/>
          <w:sz w:val="24"/>
          <w:szCs w:val="24"/>
          <w:lang w:eastAsia="en-GB"/>
        </w:rPr>
      </w:pPr>
    </w:p>
    <w:p w:rsidR="009A4DDE" w:rsidRDefault="009A4DD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In the 2011 Census, the 3 wards of Broad Green, West Thornton and Norbury made up over a quarter of the people in Croydon unable to speak English well or are unable to speak English.</w:t>
      </w:r>
    </w:p>
    <w:p w:rsid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Coulsdon East was the ward with the lowest proportion (0.6%) of people unable to speak English well or at all. The national average was 1.7% and across London the average was 4.1%.</w:t>
      </w:r>
    </w:p>
    <w:p w:rsidR="00654D63" w:rsidRDefault="00654D63" w:rsidP="006A31AE">
      <w:pPr>
        <w:spacing w:after="200" w:line="276" w:lineRule="auto"/>
        <w:rPr>
          <w:rFonts w:ascii="Arial" w:eastAsia="Calibri" w:hAnsi="Arial" w:cs="Arial"/>
          <w:sz w:val="24"/>
          <w:szCs w:val="24"/>
          <w:lang w:eastAsia="en-GB"/>
        </w:rPr>
      </w:pPr>
    </w:p>
    <w:p w:rsidR="00EE0752" w:rsidRPr="006A31AE" w:rsidRDefault="00EE0752" w:rsidP="00EE0752">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Carers</w:t>
      </w:r>
    </w:p>
    <w:p w:rsidR="00EE0752" w:rsidRPr="006A31AE" w:rsidRDefault="00EE0752" w:rsidP="00EE0752">
      <w:pPr>
        <w:spacing w:after="0" w:line="276" w:lineRule="auto"/>
        <w:rPr>
          <w:rFonts w:ascii="Arial" w:eastAsia="Calibri" w:hAnsi="Arial" w:cs="Arial"/>
          <w:color w:val="92D050"/>
          <w:sz w:val="24"/>
          <w:szCs w:val="24"/>
          <w:lang w:eastAsia="en-GB"/>
        </w:rPr>
      </w:pPr>
    </w:p>
    <w:p w:rsidR="00EE0752" w:rsidRDefault="00EE0752" w:rsidP="00EE0752">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In Croydon 9.3% of the population provided some form of unpaid care in 2011 according to the Census, slightly higher than the regional average of 8.5%. This equates to 33,683 carers in Croydon. Of those 65.5% provided up to 19 hours of unpaid care a week. However, 20.3%, 6,870 people, provided 50 or more hours of unpaid care a week.</w:t>
      </w:r>
    </w:p>
    <w:p w:rsidR="007C3D24" w:rsidRPr="006A31AE" w:rsidRDefault="007C3D24" w:rsidP="00EE0752">
      <w:pPr>
        <w:spacing w:after="200" w:line="276" w:lineRule="auto"/>
        <w:rPr>
          <w:rFonts w:ascii="Arial" w:eastAsia="Calibri" w:hAnsi="Arial" w:cs="Arial"/>
          <w:sz w:val="24"/>
          <w:szCs w:val="24"/>
          <w:lang w:eastAsia="en-GB"/>
        </w:rPr>
      </w:pPr>
    </w:p>
    <w:p w:rsidR="006A31AE" w:rsidRDefault="006A31AE" w:rsidP="006A31AE">
      <w:pPr>
        <w:spacing w:after="200" w:line="276" w:lineRule="auto"/>
        <w:rPr>
          <w:rFonts w:ascii="Arial" w:eastAsia="Calibri" w:hAnsi="Arial" w:cs="Arial"/>
          <w:sz w:val="24"/>
          <w:szCs w:val="24"/>
          <w:lang w:eastAsia="en-GB"/>
        </w:rPr>
      </w:pPr>
    </w:p>
    <w:p w:rsidR="00A90AAB" w:rsidRDefault="00A90AAB" w:rsidP="006A31AE">
      <w:pPr>
        <w:spacing w:after="200" w:line="276" w:lineRule="auto"/>
        <w:rPr>
          <w:rFonts w:ascii="Arial" w:eastAsia="Calibri" w:hAnsi="Arial" w:cs="Arial"/>
          <w:sz w:val="24"/>
          <w:szCs w:val="24"/>
          <w:lang w:eastAsia="en-GB"/>
        </w:rPr>
        <w:sectPr w:rsidR="00A90AAB" w:rsidSect="00344BD5">
          <w:headerReference w:type="default" r:id="rId89"/>
          <w:pgSz w:w="16838" w:h="11906" w:orient="landscape"/>
          <w:pgMar w:top="1418" w:right="1440" w:bottom="993" w:left="1440" w:header="142" w:footer="708" w:gutter="0"/>
          <w:cols w:num="2" w:space="708"/>
          <w:docGrid w:linePitch="360"/>
        </w:sectPr>
      </w:pPr>
    </w:p>
    <w:p w:rsidR="006A31AE" w:rsidRPr="006A31AE" w:rsidRDefault="006A31AE" w:rsidP="006A31AE">
      <w:pPr>
        <w:spacing w:after="200" w:line="276" w:lineRule="auto"/>
        <w:rPr>
          <w:rFonts w:ascii="Arial" w:eastAsia="Times New Roman" w:hAnsi="Arial" w:cs="Arial"/>
          <w:b/>
          <w:bCs/>
          <w:color w:val="701471"/>
          <w:sz w:val="40"/>
          <w:szCs w:val="28"/>
          <w:lang w:eastAsia="en-GB"/>
        </w:rPr>
      </w:pPr>
      <w:r w:rsidRPr="006A31AE">
        <w:rPr>
          <w:rFonts w:ascii="Arial" w:eastAsia="Times New Roman" w:hAnsi="Arial" w:cs="Arial"/>
          <w:b/>
          <w:bCs/>
          <w:noProof/>
          <w:color w:val="92D050"/>
          <w:sz w:val="32"/>
          <w:szCs w:val="28"/>
          <w:lang w:eastAsia="en-GB"/>
        </w:rPr>
        <w:lastRenderedPageBreak/>
        <w:drawing>
          <wp:inline distT="0" distB="0" distL="0" distR="0" wp14:anchorId="5A633BC2" wp14:editId="2BF85A58">
            <wp:extent cx="630851" cy="666695"/>
            <wp:effectExtent l="19050" t="0" r="0" b="0"/>
            <wp:docPr id="157" name="Picture 13"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16" cstate="print"/>
                    <a:stretch>
                      <a:fillRect/>
                    </a:stretch>
                  </pic:blipFill>
                  <pic:spPr>
                    <a:xfrm>
                      <a:off x="0" y="0"/>
                      <a:ext cx="630851" cy="666695"/>
                    </a:xfrm>
                    <a:prstGeom prst="rect">
                      <a:avLst/>
                    </a:prstGeom>
                  </pic:spPr>
                </pic:pic>
              </a:graphicData>
            </a:graphic>
          </wp:inline>
        </w:drawing>
      </w:r>
      <w:r w:rsidRPr="006A31AE">
        <w:rPr>
          <w:rFonts w:ascii="Arial" w:eastAsia="Times New Roman" w:hAnsi="Arial" w:cs="Arial"/>
          <w:b/>
          <w:bCs/>
          <w:color w:val="92D050"/>
          <w:sz w:val="32"/>
          <w:szCs w:val="28"/>
          <w:lang w:eastAsia="en-GB"/>
        </w:rPr>
        <w:t xml:space="preserve"> </w:t>
      </w:r>
      <w:r w:rsidRPr="006A31AE">
        <w:rPr>
          <w:rFonts w:ascii="Arial" w:eastAsia="Times New Roman" w:hAnsi="Arial" w:cs="Arial"/>
          <w:b/>
          <w:bCs/>
          <w:color w:val="701471"/>
          <w:sz w:val="40"/>
          <w:szCs w:val="28"/>
          <w:lang w:eastAsia="en-GB"/>
        </w:rPr>
        <w:t>Deprivation</w:t>
      </w:r>
    </w:p>
    <w:p w:rsidR="006A31AE" w:rsidRPr="006A31AE" w:rsidRDefault="006A31AE" w:rsidP="006A31AE">
      <w:pPr>
        <w:spacing w:after="0" w:line="240" w:lineRule="auto"/>
        <w:rPr>
          <w:rFonts w:ascii="Arial" w:eastAsia="Times New Roman" w:hAnsi="Arial" w:cs="Arial"/>
          <w:bCs/>
          <w:color w:val="92D050"/>
          <w:sz w:val="28"/>
          <w:szCs w:val="28"/>
          <w:lang w:eastAsia="en-GB"/>
        </w:rPr>
      </w:pPr>
      <w:r w:rsidRPr="006A31AE">
        <w:rPr>
          <w:rFonts w:ascii="Arial" w:eastAsia="Times New Roman" w:hAnsi="Arial" w:cs="Arial"/>
          <w:bCs/>
          <w:noProof/>
          <w:color w:val="92D050"/>
          <w:sz w:val="28"/>
          <w:szCs w:val="28"/>
          <w:lang w:eastAsia="en-GB"/>
        </w:rPr>
        <mc:AlternateContent>
          <mc:Choice Requires="wps">
            <w:drawing>
              <wp:anchor distT="0" distB="0" distL="114300" distR="114300" simplePos="0" relativeHeight="251741184" behindDoc="0" locked="0" layoutInCell="1" allowOverlap="1" wp14:anchorId="71AEA5C7" wp14:editId="541AABE4">
                <wp:simplePos x="0" y="0"/>
                <wp:positionH relativeFrom="column">
                  <wp:posOffset>-28575</wp:posOffset>
                </wp:positionH>
                <wp:positionV relativeFrom="paragraph">
                  <wp:posOffset>128270</wp:posOffset>
                </wp:positionV>
                <wp:extent cx="3975735" cy="4946015"/>
                <wp:effectExtent l="0" t="0" r="24765" b="26035"/>
                <wp:wrapNone/>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735" cy="4946015"/>
                        </a:xfrm>
                        <a:prstGeom prst="rect">
                          <a:avLst/>
                        </a:prstGeom>
                        <a:solidFill>
                          <a:srgbClr val="FFFFFF"/>
                        </a:solidFill>
                        <a:ln w="9525">
                          <a:solidFill>
                            <a:srgbClr val="000000"/>
                          </a:solidFill>
                          <a:miter lim="800000"/>
                          <a:headEnd/>
                          <a:tailEnd/>
                        </a:ln>
                      </wps:spPr>
                      <wps:txbx>
                        <w:txbxContent>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Areas of progress</w:t>
                            </w:r>
                          </w:p>
                          <w:p w:rsidR="00721450" w:rsidRPr="006C1B2B" w:rsidRDefault="00721450" w:rsidP="006A31AE">
                            <w:pPr>
                              <w:spacing w:after="0" w:line="240" w:lineRule="auto"/>
                              <w:rPr>
                                <w:rFonts w:eastAsia="Times New Roman"/>
                                <w:bCs/>
                                <w:color w:val="701471"/>
                                <w:sz w:val="28"/>
                                <w:szCs w:val="28"/>
                                <w:lang w:eastAsia="en-GB"/>
                              </w:rPr>
                            </w:pPr>
                          </w:p>
                          <w:p w:rsidR="00721450" w:rsidRPr="000F55A9" w:rsidRDefault="00721450" w:rsidP="006A31AE">
                            <w:pPr>
                              <w:pStyle w:val="ListParagraph"/>
                              <w:numPr>
                                <w:ilvl w:val="0"/>
                                <w:numId w:val="1"/>
                              </w:numPr>
                              <w:spacing w:after="0" w:line="240" w:lineRule="auto"/>
                              <w:rPr>
                                <w:rFonts w:eastAsia="Times New Roman"/>
                                <w:bCs/>
                                <w:lang w:eastAsia="en-GB"/>
                              </w:rPr>
                            </w:pPr>
                            <w:r>
                              <w:rPr>
                                <w:rFonts w:eastAsia="Times New Roman"/>
                                <w:bCs/>
                                <w:lang w:eastAsia="en-GB"/>
                              </w:rPr>
                              <w:t>Croydon is the bottom third (220</w:t>
                            </w:r>
                            <w:r w:rsidRPr="000F55A9">
                              <w:rPr>
                                <w:rFonts w:eastAsia="Times New Roman"/>
                                <w:bCs/>
                                <w:lang w:eastAsia="en-GB"/>
                              </w:rPr>
                              <w:t xml:space="preserve"> </w:t>
                            </w:r>
                            <w:r>
                              <w:rPr>
                                <w:rFonts w:eastAsia="Times New Roman"/>
                                <w:bCs/>
                                <w:lang w:eastAsia="en-GB"/>
                              </w:rPr>
                              <w:t xml:space="preserve">out of 336 district authorities) least deprived </w:t>
                            </w:r>
                            <w:r w:rsidRPr="000F55A9">
                              <w:rPr>
                                <w:rFonts w:eastAsia="Times New Roman"/>
                                <w:bCs/>
                                <w:lang w:eastAsia="en-GB"/>
                              </w:rPr>
                              <w:t>under the Education, skills and training domain.</w:t>
                            </w:r>
                          </w:p>
                          <w:p w:rsidR="00721450" w:rsidRPr="000F55A9" w:rsidRDefault="00721450" w:rsidP="006A31AE">
                            <w:pPr>
                              <w:spacing w:after="0" w:line="240" w:lineRule="auto"/>
                              <w:rPr>
                                <w:rFonts w:eastAsia="Times New Roman"/>
                                <w:bCs/>
                                <w:sz w:val="28"/>
                                <w:szCs w:val="28"/>
                                <w:lang w:eastAsia="en-GB"/>
                              </w:rPr>
                            </w:pPr>
                          </w:p>
                          <w:p w:rsidR="00721450" w:rsidRDefault="00721450" w:rsidP="006A31AE">
                            <w:pPr>
                              <w:spacing w:after="0" w:line="240" w:lineRule="auto"/>
                              <w:rPr>
                                <w:rFonts w:eastAsia="Times New Roman"/>
                                <w:bCs/>
                                <w:color w:val="701471"/>
                                <w:sz w:val="28"/>
                                <w:szCs w:val="28"/>
                                <w:lang w:eastAsia="en-GB"/>
                              </w:rPr>
                            </w:pPr>
                            <w:r w:rsidRPr="00F82119">
                              <w:rPr>
                                <w:rFonts w:eastAsia="Times New Roman"/>
                                <w:bCs/>
                                <w:color w:val="701471"/>
                                <w:sz w:val="28"/>
                                <w:szCs w:val="28"/>
                                <w:lang w:eastAsia="en-GB"/>
                              </w:rPr>
                              <w:t>Challenges</w:t>
                            </w:r>
                          </w:p>
                          <w:p w:rsidR="00721450" w:rsidRPr="00F82119" w:rsidRDefault="00721450" w:rsidP="006A31AE">
                            <w:pPr>
                              <w:spacing w:after="0" w:line="240" w:lineRule="auto"/>
                              <w:rPr>
                                <w:rFonts w:eastAsia="Times New Roman"/>
                                <w:bCs/>
                                <w:color w:val="701471"/>
                                <w:sz w:val="28"/>
                                <w:szCs w:val="28"/>
                                <w:lang w:eastAsia="en-GB"/>
                              </w:rPr>
                            </w:pPr>
                          </w:p>
                          <w:p w:rsidR="00721450" w:rsidRPr="000F55A9" w:rsidRDefault="00721450" w:rsidP="006A31AE">
                            <w:pPr>
                              <w:pStyle w:val="ListParagraph"/>
                              <w:numPr>
                                <w:ilvl w:val="0"/>
                                <w:numId w:val="2"/>
                              </w:numPr>
                            </w:pPr>
                            <w:r w:rsidRPr="000F55A9">
                              <w:t>Croydon became relatively more deprived compared to other local authorities in England between 2010 and 2015.</w:t>
                            </w:r>
                          </w:p>
                          <w:p w:rsidR="00721450" w:rsidRPr="000F55A9" w:rsidRDefault="00721450" w:rsidP="006A31AE">
                            <w:pPr>
                              <w:pStyle w:val="ListParagraph"/>
                              <w:numPr>
                                <w:ilvl w:val="0"/>
                                <w:numId w:val="2"/>
                              </w:numPr>
                            </w:pPr>
                            <w:r w:rsidRPr="000F55A9">
                              <w:t xml:space="preserve">Although there have been some changes in the individual rankings of LSOAs within the borough there remains geographic inequality in the distribution of deprivation in the borough with the </w:t>
                            </w:r>
                            <w:r>
                              <w:t>north and e</w:t>
                            </w:r>
                            <w:r w:rsidRPr="000F55A9">
                              <w:t>ast of the borough remaining more deprived.</w:t>
                            </w:r>
                          </w:p>
                          <w:p w:rsidR="00721450" w:rsidRPr="000F55A9" w:rsidRDefault="00721450" w:rsidP="006A31AE">
                            <w:pPr>
                              <w:pStyle w:val="ListParagraph"/>
                              <w:numPr>
                                <w:ilvl w:val="0"/>
                                <w:numId w:val="2"/>
                              </w:numPr>
                            </w:pPr>
                            <w:r w:rsidRPr="000F55A9">
                              <w:t>Croydon was in the 25 most deprived district authorities in the country for the crime domain in 2015.</w:t>
                            </w:r>
                          </w:p>
                          <w:p w:rsidR="00721450" w:rsidRPr="000F55A9" w:rsidRDefault="00721450" w:rsidP="006A31AE">
                            <w:pPr>
                              <w:pStyle w:val="ListParagraph"/>
                              <w:numPr>
                                <w:ilvl w:val="0"/>
                                <w:numId w:val="2"/>
                              </w:numPr>
                            </w:pPr>
                            <w:r w:rsidRPr="000F55A9">
                              <w:t>Croydon was the 19</w:t>
                            </w:r>
                            <w:r w:rsidRPr="000F55A9">
                              <w:rPr>
                                <w:vertAlign w:val="superscript"/>
                              </w:rPr>
                              <w:t>th</w:t>
                            </w:r>
                            <w:r w:rsidRPr="000F55A9">
                              <w:t xml:space="preserve"> most deprived district authority in the country for barriers to housing and services.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AEA5C7" id="_x0000_s1082" type="#_x0000_t202" style="position:absolute;margin-left:-2.25pt;margin-top:10.1pt;width:313.05pt;height:389.4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">
                <v:textbox>
                  <w:txbxContent>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Areas of progress</w:t>
                      </w:r>
                    </w:p>
                    <w:p w:rsidR="00721450" w:rsidRPr="006C1B2B" w:rsidRDefault="00721450" w:rsidP="006A31AE">
                      <w:pPr>
                        <w:spacing w:after="0" w:line="240" w:lineRule="auto"/>
                        <w:rPr>
                          <w:rFonts w:eastAsia="Times New Roman"/>
                          <w:bCs/>
                          <w:color w:val="701471"/>
                          <w:sz w:val="28"/>
                          <w:szCs w:val="28"/>
                          <w:lang w:eastAsia="en-GB"/>
                        </w:rPr>
                      </w:pPr>
                    </w:p>
                    <w:p w:rsidR="00721450" w:rsidRPr="000F55A9" w:rsidRDefault="00721450" w:rsidP="006A31AE">
                      <w:pPr>
                        <w:pStyle w:val="ListParagraph"/>
                        <w:numPr>
                          <w:ilvl w:val="0"/>
                          <w:numId w:val="1"/>
                        </w:numPr>
                        <w:spacing w:after="0" w:line="240" w:lineRule="auto"/>
                        <w:rPr>
                          <w:rFonts w:eastAsia="Times New Roman"/>
                          <w:bCs/>
                          <w:lang w:eastAsia="en-GB"/>
                        </w:rPr>
                      </w:pPr>
                      <w:r>
                        <w:rPr>
                          <w:rFonts w:eastAsia="Times New Roman"/>
                          <w:bCs/>
                          <w:lang w:eastAsia="en-GB"/>
                        </w:rPr>
                        <w:t>Croydon is the bottom third (220</w:t>
                      </w:r>
                      <w:r w:rsidRPr="000F55A9">
                        <w:rPr>
                          <w:rFonts w:eastAsia="Times New Roman"/>
                          <w:bCs/>
                          <w:lang w:eastAsia="en-GB"/>
                        </w:rPr>
                        <w:t xml:space="preserve"> </w:t>
                      </w:r>
                      <w:r>
                        <w:rPr>
                          <w:rFonts w:eastAsia="Times New Roman"/>
                          <w:bCs/>
                          <w:lang w:eastAsia="en-GB"/>
                        </w:rPr>
                        <w:t xml:space="preserve">out of 336 district authorities) least deprived </w:t>
                      </w:r>
                      <w:r w:rsidRPr="000F55A9">
                        <w:rPr>
                          <w:rFonts w:eastAsia="Times New Roman"/>
                          <w:bCs/>
                          <w:lang w:eastAsia="en-GB"/>
                        </w:rPr>
                        <w:t>under the Education, skills and training domain.</w:t>
                      </w:r>
                    </w:p>
                    <w:p w:rsidR="00721450" w:rsidRPr="000F55A9" w:rsidRDefault="00721450" w:rsidP="006A31AE">
                      <w:pPr>
                        <w:spacing w:after="0" w:line="240" w:lineRule="auto"/>
                        <w:rPr>
                          <w:rFonts w:eastAsia="Times New Roman"/>
                          <w:bCs/>
                          <w:sz w:val="28"/>
                          <w:szCs w:val="28"/>
                          <w:lang w:eastAsia="en-GB"/>
                        </w:rPr>
                      </w:pPr>
                    </w:p>
                    <w:p w:rsidR="00721450" w:rsidRDefault="00721450" w:rsidP="006A31AE">
                      <w:pPr>
                        <w:spacing w:after="0" w:line="240" w:lineRule="auto"/>
                        <w:rPr>
                          <w:rFonts w:eastAsia="Times New Roman"/>
                          <w:bCs/>
                          <w:color w:val="701471"/>
                          <w:sz w:val="28"/>
                          <w:szCs w:val="28"/>
                          <w:lang w:eastAsia="en-GB"/>
                        </w:rPr>
                      </w:pPr>
                      <w:r w:rsidRPr="00F82119">
                        <w:rPr>
                          <w:rFonts w:eastAsia="Times New Roman"/>
                          <w:bCs/>
                          <w:color w:val="701471"/>
                          <w:sz w:val="28"/>
                          <w:szCs w:val="28"/>
                          <w:lang w:eastAsia="en-GB"/>
                        </w:rPr>
                        <w:t>Challenges</w:t>
                      </w:r>
                    </w:p>
                    <w:p w:rsidR="00721450" w:rsidRPr="00F82119" w:rsidRDefault="00721450" w:rsidP="006A31AE">
                      <w:pPr>
                        <w:spacing w:after="0" w:line="240" w:lineRule="auto"/>
                        <w:rPr>
                          <w:rFonts w:eastAsia="Times New Roman"/>
                          <w:bCs/>
                          <w:color w:val="701471"/>
                          <w:sz w:val="28"/>
                          <w:szCs w:val="28"/>
                          <w:lang w:eastAsia="en-GB"/>
                        </w:rPr>
                      </w:pPr>
                    </w:p>
                    <w:p w:rsidR="00721450" w:rsidRPr="000F55A9" w:rsidRDefault="00721450" w:rsidP="006A31AE">
                      <w:pPr>
                        <w:pStyle w:val="ListParagraph"/>
                        <w:numPr>
                          <w:ilvl w:val="0"/>
                          <w:numId w:val="2"/>
                        </w:numPr>
                      </w:pPr>
                      <w:r w:rsidRPr="000F55A9">
                        <w:t>Croydon became relatively more deprived compared to other local authorities in England between 2010 and 2015.</w:t>
                      </w:r>
                    </w:p>
                    <w:p w:rsidR="00721450" w:rsidRPr="000F55A9" w:rsidRDefault="00721450" w:rsidP="006A31AE">
                      <w:pPr>
                        <w:pStyle w:val="ListParagraph"/>
                        <w:numPr>
                          <w:ilvl w:val="0"/>
                          <w:numId w:val="2"/>
                        </w:numPr>
                      </w:pPr>
                      <w:r w:rsidRPr="000F55A9">
                        <w:t xml:space="preserve">Although there have been some changes in the individual rankings of LSOAs within the borough there remains geographic inequality in the distribution of deprivation in the borough with the </w:t>
                      </w:r>
                      <w:r>
                        <w:t>north and e</w:t>
                      </w:r>
                      <w:r w:rsidRPr="000F55A9">
                        <w:t>ast of the borough remaining more deprived.</w:t>
                      </w:r>
                    </w:p>
                    <w:p w:rsidR="00721450" w:rsidRPr="000F55A9" w:rsidRDefault="00721450" w:rsidP="006A31AE">
                      <w:pPr>
                        <w:pStyle w:val="ListParagraph"/>
                        <w:numPr>
                          <w:ilvl w:val="0"/>
                          <w:numId w:val="2"/>
                        </w:numPr>
                      </w:pPr>
                      <w:r w:rsidRPr="000F55A9">
                        <w:t>Croydon was in the 25 most deprived district authorities in the country for the crime domain in 2015.</w:t>
                      </w:r>
                    </w:p>
                    <w:p w:rsidR="00721450" w:rsidRPr="000F55A9" w:rsidRDefault="00721450" w:rsidP="006A31AE">
                      <w:pPr>
                        <w:pStyle w:val="ListParagraph"/>
                        <w:numPr>
                          <w:ilvl w:val="0"/>
                          <w:numId w:val="2"/>
                        </w:numPr>
                      </w:pPr>
                      <w:r w:rsidRPr="000F55A9">
                        <w:t>Croydon was the 19</w:t>
                      </w:r>
                      <w:r w:rsidRPr="000F55A9">
                        <w:rPr>
                          <w:vertAlign w:val="superscript"/>
                        </w:rPr>
                        <w:t>th</w:t>
                      </w:r>
                      <w:r w:rsidRPr="000F55A9">
                        <w:t xml:space="preserve"> most deprived district authority in the country for barriers to housing and services.</w:t>
                      </w:r>
                    </w:p>
                  </w:txbxContent>
                </v:textbox>
              </v:shape>
            </w:pict>
          </mc:Fallback>
        </mc:AlternateContent>
      </w:r>
    </w:p>
    <w:p w:rsidR="006A31AE" w:rsidRPr="006A31AE" w:rsidRDefault="006A31AE" w:rsidP="006A31AE">
      <w:pPr>
        <w:spacing w:after="0" w:line="240" w:lineRule="auto"/>
        <w:rPr>
          <w:rFonts w:ascii="Arial" w:eastAsia="Times New Roman" w:hAnsi="Arial" w:cs="Arial"/>
          <w:bCs/>
          <w:color w:val="92D050"/>
          <w:sz w:val="28"/>
          <w:szCs w:val="28"/>
          <w:lang w:eastAsia="en-GB"/>
        </w:rPr>
      </w:pPr>
    </w:p>
    <w:p w:rsidR="006A31AE" w:rsidRPr="006A31AE" w:rsidRDefault="006A31AE" w:rsidP="006A31AE">
      <w:pPr>
        <w:spacing w:after="0" w:line="240" w:lineRule="auto"/>
        <w:rPr>
          <w:rFonts w:ascii="Arial" w:eastAsia="Times New Roman" w:hAnsi="Arial" w:cs="Arial"/>
          <w:bCs/>
          <w:color w:val="92D050"/>
          <w:sz w:val="28"/>
          <w:szCs w:val="28"/>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rPr>
          <w:rFonts w:ascii="Arial" w:eastAsia="Times New Roman" w:hAnsi="Arial" w:cs="Arial"/>
          <w:bCs/>
          <w:color w:val="92D050"/>
          <w:sz w:val="24"/>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40"/>
          <w:szCs w:val="28"/>
          <w:lang w:eastAsia="en-GB"/>
        </w:rPr>
      </w:pPr>
      <w:r w:rsidRPr="006A31AE">
        <w:rPr>
          <w:rFonts w:ascii="Arial" w:eastAsia="Times New Roman" w:hAnsi="Arial" w:cs="Arial"/>
          <w:b/>
          <w:bCs/>
          <w:color w:val="701471"/>
          <w:sz w:val="40"/>
          <w:szCs w:val="28"/>
          <w:lang w:eastAsia="en-GB"/>
        </w:rPr>
        <w:t>Overview</w:t>
      </w:r>
    </w:p>
    <w:p w:rsid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This section looks at the Index of Multiple Deprivation (IMD) and its supplementary indices.</w:t>
      </w:r>
    </w:p>
    <w:p w:rsidR="00426FD8" w:rsidRPr="006A31AE" w:rsidRDefault="00426FD8" w:rsidP="006A31AE">
      <w:pPr>
        <w:spacing w:after="0" w:line="240" w:lineRule="auto"/>
        <w:rPr>
          <w:rFonts w:ascii="Arial" w:eastAsia="Times New Roman" w:hAnsi="Arial" w:cs="Arial"/>
          <w:bCs/>
          <w:sz w:val="24"/>
          <w:szCs w:val="24"/>
          <w:lang w:eastAsia="en-GB"/>
        </w:rPr>
      </w:pPr>
    </w:p>
    <w:p w:rsidR="006A31AE" w:rsidRPr="00190165" w:rsidRDefault="00E238E9" w:rsidP="006A31AE">
      <w:pPr>
        <w:numPr>
          <w:ilvl w:val="0"/>
          <w:numId w:val="5"/>
        </w:numPr>
        <w:spacing w:after="0" w:line="240" w:lineRule="auto"/>
        <w:contextualSpacing/>
        <w:rPr>
          <w:rFonts w:ascii="Arial" w:eastAsia="Times New Roman" w:hAnsi="Arial" w:cs="Arial"/>
          <w:bCs/>
          <w:color w:val="0000FF"/>
          <w:sz w:val="24"/>
          <w:szCs w:val="24"/>
          <w:u w:val="single"/>
          <w:lang w:eastAsia="en-GB"/>
        </w:rPr>
      </w:pPr>
      <w:hyperlink w:anchor="_Index_of_Multiple" w:history="1">
        <w:r w:rsidR="006A31AE" w:rsidRPr="00190165">
          <w:rPr>
            <w:rFonts w:ascii="Arial" w:eastAsia="Times New Roman" w:hAnsi="Arial" w:cs="Arial"/>
            <w:bCs/>
            <w:color w:val="0000FF"/>
            <w:sz w:val="24"/>
            <w:szCs w:val="24"/>
            <w:u w:val="single"/>
            <w:lang w:eastAsia="en-GB"/>
          </w:rPr>
          <w:t>I</w:t>
        </w:r>
        <w:r w:rsidR="00426FD8">
          <w:rPr>
            <w:rFonts w:ascii="Arial" w:eastAsia="Times New Roman" w:hAnsi="Arial" w:cs="Arial"/>
            <w:bCs/>
            <w:color w:val="0000FF"/>
            <w:sz w:val="24"/>
            <w:szCs w:val="24"/>
            <w:u w:val="single"/>
            <w:lang w:eastAsia="en-GB"/>
          </w:rPr>
          <w:t xml:space="preserve">MD </w:t>
        </w:r>
        <w:r w:rsidR="006A31AE" w:rsidRPr="00190165">
          <w:rPr>
            <w:rFonts w:ascii="Arial" w:eastAsia="Times New Roman" w:hAnsi="Arial" w:cs="Arial"/>
            <w:bCs/>
            <w:color w:val="0000FF"/>
            <w:sz w:val="24"/>
            <w:szCs w:val="24"/>
            <w:u w:val="single"/>
            <w:lang w:eastAsia="en-GB"/>
          </w:rPr>
          <w:t>2015 – Overall changes since 2010</w:t>
        </w:r>
      </w:hyperlink>
    </w:p>
    <w:p w:rsidR="006A31AE" w:rsidRPr="00190165" w:rsidRDefault="00E238E9" w:rsidP="006A31AE">
      <w:pPr>
        <w:numPr>
          <w:ilvl w:val="0"/>
          <w:numId w:val="5"/>
        </w:numPr>
        <w:spacing w:after="0" w:line="240" w:lineRule="auto"/>
        <w:contextualSpacing/>
        <w:rPr>
          <w:rFonts w:ascii="Arial" w:eastAsia="Times New Roman" w:hAnsi="Arial" w:cs="Arial"/>
          <w:bCs/>
          <w:color w:val="0000FF"/>
          <w:sz w:val="24"/>
          <w:szCs w:val="24"/>
          <w:u w:val="single"/>
          <w:lang w:eastAsia="en-GB"/>
        </w:rPr>
      </w:pPr>
      <w:hyperlink w:anchor="_IMD_2015_Domains" w:history="1">
        <w:r w:rsidR="006A31AE" w:rsidRPr="00190165">
          <w:rPr>
            <w:rFonts w:ascii="Arial" w:eastAsia="Times New Roman" w:hAnsi="Arial" w:cs="Arial"/>
            <w:bCs/>
            <w:color w:val="0000FF"/>
            <w:sz w:val="24"/>
            <w:szCs w:val="24"/>
            <w:u w:val="single"/>
            <w:lang w:eastAsia="en-GB"/>
          </w:rPr>
          <w:t>IMD 2015 Domains</w:t>
        </w:r>
      </w:hyperlink>
    </w:p>
    <w:p w:rsidR="006A31AE" w:rsidRPr="00190165" w:rsidRDefault="00E238E9" w:rsidP="006A31AE">
      <w:pPr>
        <w:numPr>
          <w:ilvl w:val="0"/>
          <w:numId w:val="5"/>
        </w:numPr>
        <w:spacing w:after="0" w:line="240" w:lineRule="auto"/>
        <w:contextualSpacing/>
        <w:rPr>
          <w:rFonts w:ascii="Arial" w:eastAsia="Times New Roman" w:hAnsi="Arial" w:cs="Arial"/>
          <w:bCs/>
          <w:color w:val="0000FF"/>
          <w:sz w:val="24"/>
          <w:szCs w:val="24"/>
          <w:u w:val="single"/>
          <w:lang w:eastAsia="en-GB"/>
        </w:rPr>
      </w:pPr>
      <w:hyperlink w:anchor="_Income_Deprivation_Affecting" w:history="1">
        <w:r w:rsidR="006A31AE" w:rsidRPr="00190165">
          <w:rPr>
            <w:rFonts w:ascii="Arial" w:eastAsia="Times New Roman" w:hAnsi="Arial" w:cs="Arial"/>
            <w:bCs/>
            <w:color w:val="0000FF"/>
            <w:sz w:val="24"/>
            <w:szCs w:val="24"/>
            <w:u w:val="single"/>
            <w:lang w:eastAsia="en-GB"/>
          </w:rPr>
          <w:t>Income Deprivation Affecting Children Index (IDACI) 2015</w:t>
        </w:r>
      </w:hyperlink>
    </w:p>
    <w:p w:rsidR="006A31AE" w:rsidRPr="00190165" w:rsidRDefault="00E238E9" w:rsidP="006A31AE">
      <w:pPr>
        <w:numPr>
          <w:ilvl w:val="0"/>
          <w:numId w:val="5"/>
        </w:numPr>
        <w:spacing w:after="0" w:line="240" w:lineRule="auto"/>
        <w:contextualSpacing/>
        <w:rPr>
          <w:rFonts w:ascii="Arial" w:eastAsia="Times New Roman" w:hAnsi="Arial" w:cs="Arial"/>
          <w:bCs/>
          <w:color w:val="0000FF"/>
          <w:sz w:val="24"/>
          <w:szCs w:val="24"/>
          <w:u w:val="single"/>
          <w:lang w:eastAsia="en-GB"/>
        </w:rPr>
      </w:pPr>
      <w:hyperlink w:anchor="_Income_Deprivation_Affecting_1" w:history="1">
        <w:r w:rsidR="006A31AE" w:rsidRPr="00190165">
          <w:rPr>
            <w:rFonts w:ascii="Arial" w:eastAsia="Times New Roman" w:hAnsi="Arial" w:cs="Arial"/>
            <w:bCs/>
            <w:color w:val="0000FF"/>
            <w:sz w:val="24"/>
            <w:szCs w:val="24"/>
            <w:u w:val="single"/>
            <w:lang w:eastAsia="en-GB"/>
          </w:rPr>
          <w:t>Income Deprivation Affecting Older People Index (IDAOPI) 2015</w:t>
        </w:r>
      </w:hyperlink>
    </w:p>
    <w:p w:rsidR="006A31AE" w:rsidRDefault="006A31AE" w:rsidP="006A31AE">
      <w:pPr>
        <w:spacing w:after="0" w:line="240" w:lineRule="auto"/>
        <w:rPr>
          <w:rFonts w:ascii="Arial" w:eastAsia="Times New Roman" w:hAnsi="Arial" w:cs="Arial"/>
          <w:bCs/>
          <w:sz w:val="24"/>
          <w:szCs w:val="24"/>
          <w:lang w:eastAsia="en-GB"/>
        </w:rPr>
      </w:pPr>
    </w:p>
    <w:p w:rsidR="004C2686" w:rsidRPr="006A31AE" w:rsidRDefault="004C2686"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32"/>
          <w:szCs w:val="32"/>
          <w:lang w:eastAsia="en-GB"/>
        </w:rPr>
      </w:pPr>
      <w:bookmarkStart w:id="4" w:name="_Index_of_Multiple"/>
      <w:bookmarkEnd w:id="4"/>
      <w:r w:rsidRPr="006A31AE">
        <w:rPr>
          <w:rFonts w:ascii="Arial" w:eastAsia="Times New Roman" w:hAnsi="Arial" w:cs="Arial"/>
          <w:b/>
          <w:bCs/>
          <w:color w:val="701471"/>
          <w:sz w:val="32"/>
          <w:szCs w:val="32"/>
          <w:lang w:eastAsia="en-GB"/>
        </w:rPr>
        <w:t>I</w:t>
      </w:r>
      <w:r w:rsidR="00426FD8">
        <w:rPr>
          <w:rFonts w:ascii="Arial" w:eastAsia="Times New Roman" w:hAnsi="Arial" w:cs="Arial"/>
          <w:b/>
          <w:bCs/>
          <w:color w:val="701471"/>
          <w:sz w:val="32"/>
          <w:szCs w:val="32"/>
          <w:lang w:eastAsia="en-GB"/>
        </w:rPr>
        <w:t>MD</w:t>
      </w:r>
      <w:r w:rsidRPr="006A31AE">
        <w:rPr>
          <w:rFonts w:ascii="Arial" w:eastAsia="Times New Roman" w:hAnsi="Arial" w:cs="Arial"/>
          <w:b/>
          <w:bCs/>
          <w:color w:val="701471"/>
          <w:sz w:val="32"/>
          <w:szCs w:val="32"/>
          <w:lang w:eastAsia="en-GB"/>
        </w:rPr>
        <w:t xml:space="preserve"> 2015 – Overall changes since 2010</w:t>
      </w:r>
    </w:p>
    <w:p w:rsidR="006A31AE" w:rsidRPr="006A31AE" w:rsidRDefault="006A31AE" w:rsidP="006A31AE">
      <w:pPr>
        <w:spacing w:after="0" w:line="276" w:lineRule="auto"/>
        <w:rPr>
          <w:rFonts w:ascii="Arial" w:eastAsia="Calibri" w:hAnsi="Arial" w:cs="Arial"/>
          <w:color w:val="92D050"/>
          <w:sz w:val="24"/>
          <w:szCs w:val="24"/>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Introduction</w:t>
      </w: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Index of Multiple Deprivation 2015 is a set of measures that allows relative deprivation levels across the country to be compared. It is formed of seven different deprivation domains:</w:t>
      </w:r>
    </w:p>
    <w:p w:rsidR="006A31AE" w:rsidRPr="006A31AE" w:rsidRDefault="006A31AE" w:rsidP="006A31AE">
      <w:pPr>
        <w:numPr>
          <w:ilvl w:val="0"/>
          <w:numId w:val="5"/>
        </w:numPr>
        <w:spacing w:after="200" w:line="276" w:lineRule="auto"/>
        <w:contextualSpacing/>
        <w:rPr>
          <w:rFonts w:ascii="Arial" w:eastAsia="Calibri" w:hAnsi="Arial" w:cs="Arial"/>
          <w:sz w:val="24"/>
          <w:szCs w:val="24"/>
          <w:lang w:eastAsia="en-GB"/>
        </w:rPr>
      </w:pPr>
      <w:r w:rsidRPr="006A31AE">
        <w:rPr>
          <w:rFonts w:ascii="Arial" w:eastAsia="Calibri" w:hAnsi="Arial" w:cs="Arial"/>
          <w:sz w:val="24"/>
          <w:szCs w:val="24"/>
          <w:lang w:eastAsia="en-GB"/>
        </w:rPr>
        <w:t>Income</w:t>
      </w:r>
    </w:p>
    <w:p w:rsidR="006A31AE" w:rsidRPr="006A31AE" w:rsidRDefault="006A31AE" w:rsidP="006A31AE">
      <w:pPr>
        <w:numPr>
          <w:ilvl w:val="0"/>
          <w:numId w:val="5"/>
        </w:numPr>
        <w:spacing w:after="200" w:line="276" w:lineRule="auto"/>
        <w:contextualSpacing/>
        <w:rPr>
          <w:rFonts w:ascii="Arial" w:eastAsia="Calibri" w:hAnsi="Arial" w:cs="Arial"/>
          <w:sz w:val="24"/>
          <w:szCs w:val="24"/>
          <w:lang w:eastAsia="en-GB"/>
        </w:rPr>
      </w:pPr>
      <w:r w:rsidRPr="006A31AE">
        <w:rPr>
          <w:rFonts w:ascii="Arial" w:eastAsia="Calibri" w:hAnsi="Arial" w:cs="Arial"/>
          <w:sz w:val="24"/>
          <w:szCs w:val="24"/>
          <w:lang w:eastAsia="en-GB"/>
        </w:rPr>
        <w:t>Employment</w:t>
      </w:r>
    </w:p>
    <w:p w:rsidR="006A31AE" w:rsidRPr="006A31AE" w:rsidRDefault="006A31AE" w:rsidP="006A31AE">
      <w:pPr>
        <w:numPr>
          <w:ilvl w:val="0"/>
          <w:numId w:val="5"/>
        </w:numPr>
        <w:spacing w:after="200" w:line="276" w:lineRule="auto"/>
        <w:contextualSpacing/>
        <w:rPr>
          <w:rFonts w:ascii="Arial" w:eastAsia="Calibri" w:hAnsi="Arial" w:cs="Arial"/>
          <w:sz w:val="24"/>
          <w:szCs w:val="24"/>
          <w:lang w:eastAsia="en-GB"/>
        </w:rPr>
      </w:pPr>
      <w:r w:rsidRPr="006A31AE">
        <w:rPr>
          <w:rFonts w:ascii="Arial" w:eastAsia="Calibri" w:hAnsi="Arial" w:cs="Arial"/>
          <w:sz w:val="24"/>
          <w:szCs w:val="24"/>
          <w:lang w:eastAsia="en-GB"/>
        </w:rPr>
        <w:t>Education, skills and training</w:t>
      </w:r>
    </w:p>
    <w:p w:rsidR="006A31AE" w:rsidRPr="006A31AE" w:rsidRDefault="006A31AE" w:rsidP="006A31AE">
      <w:pPr>
        <w:numPr>
          <w:ilvl w:val="0"/>
          <w:numId w:val="5"/>
        </w:numPr>
        <w:spacing w:after="200" w:line="276" w:lineRule="auto"/>
        <w:contextualSpacing/>
        <w:rPr>
          <w:rFonts w:ascii="Arial" w:eastAsia="Calibri" w:hAnsi="Arial" w:cs="Arial"/>
          <w:sz w:val="24"/>
          <w:szCs w:val="24"/>
          <w:lang w:eastAsia="en-GB"/>
        </w:rPr>
      </w:pPr>
      <w:r w:rsidRPr="006A31AE">
        <w:rPr>
          <w:rFonts w:ascii="Arial" w:eastAsia="Calibri" w:hAnsi="Arial" w:cs="Arial"/>
          <w:sz w:val="24"/>
          <w:szCs w:val="24"/>
          <w:lang w:eastAsia="en-GB"/>
        </w:rPr>
        <w:t>Health deprivation and disability</w:t>
      </w:r>
    </w:p>
    <w:p w:rsidR="006A31AE" w:rsidRPr="006A31AE" w:rsidRDefault="006A31AE" w:rsidP="006A31AE">
      <w:pPr>
        <w:numPr>
          <w:ilvl w:val="0"/>
          <w:numId w:val="5"/>
        </w:numPr>
        <w:spacing w:after="200" w:line="276" w:lineRule="auto"/>
        <w:contextualSpacing/>
        <w:rPr>
          <w:rFonts w:ascii="Arial" w:eastAsia="Calibri" w:hAnsi="Arial" w:cs="Arial"/>
          <w:sz w:val="24"/>
          <w:szCs w:val="24"/>
          <w:lang w:eastAsia="en-GB"/>
        </w:rPr>
      </w:pPr>
      <w:r w:rsidRPr="006A31AE">
        <w:rPr>
          <w:rFonts w:ascii="Arial" w:eastAsia="Calibri" w:hAnsi="Arial" w:cs="Arial"/>
          <w:sz w:val="24"/>
          <w:szCs w:val="24"/>
          <w:lang w:eastAsia="en-GB"/>
        </w:rPr>
        <w:t>Crime</w:t>
      </w:r>
    </w:p>
    <w:p w:rsidR="006A31AE" w:rsidRPr="006A31AE" w:rsidRDefault="006A31AE" w:rsidP="006A31AE">
      <w:pPr>
        <w:numPr>
          <w:ilvl w:val="0"/>
          <w:numId w:val="5"/>
        </w:numPr>
        <w:spacing w:after="200" w:line="276" w:lineRule="auto"/>
        <w:contextualSpacing/>
        <w:rPr>
          <w:rFonts w:ascii="Arial" w:eastAsia="Calibri" w:hAnsi="Arial" w:cs="Arial"/>
          <w:sz w:val="24"/>
          <w:szCs w:val="24"/>
          <w:lang w:eastAsia="en-GB"/>
        </w:rPr>
      </w:pPr>
      <w:r w:rsidRPr="006A31AE">
        <w:rPr>
          <w:rFonts w:ascii="Arial" w:eastAsia="Calibri" w:hAnsi="Arial" w:cs="Arial"/>
          <w:sz w:val="24"/>
          <w:szCs w:val="24"/>
          <w:lang w:eastAsia="en-GB"/>
        </w:rPr>
        <w:t>Barriers to housing and services</w:t>
      </w:r>
    </w:p>
    <w:p w:rsidR="006A31AE" w:rsidRPr="006A31AE" w:rsidRDefault="006A31AE" w:rsidP="006A31AE">
      <w:pPr>
        <w:numPr>
          <w:ilvl w:val="0"/>
          <w:numId w:val="5"/>
        </w:numPr>
        <w:spacing w:after="200" w:line="276" w:lineRule="auto"/>
        <w:contextualSpacing/>
        <w:rPr>
          <w:rFonts w:ascii="Arial" w:eastAsia="Calibri" w:hAnsi="Arial" w:cs="Arial"/>
          <w:sz w:val="24"/>
          <w:szCs w:val="24"/>
          <w:lang w:eastAsia="en-GB"/>
        </w:rPr>
      </w:pPr>
      <w:r w:rsidRPr="006A31AE">
        <w:rPr>
          <w:rFonts w:ascii="Arial" w:eastAsia="Calibri" w:hAnsi="Arial" w:cs="Arial"/>
          <w:sz w:val="24"/>
          <w:szCs w:val="24"/>
          <w:lang w:eastAsia="en-GB"/>
        </w:rPr>
        <w:t>Living environment</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lastRenderedPageBreak/>
        <w:t>Each of these domains will be looked at in this section. There are also two supplementary indices : the Income Deprivation Affecting Children Index (IDACI) and the Income Deprivation Affecting Older People Index (IDAOPI).  These look at the proportion of children and older people who are income deprived respectively.</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It is important to note that the IMD will show the relative ranking of different authorities over time but it cannot indicate how much more deprived one authority is to another.</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index is based on data at Lower</w:t>
      </w:r>
      <w:r w:rsidR="00FB2ABD">
        <w:rPr>
          <w:rFonts w:ascii="Arial" w:eastAsia="Calibri" w:hAnsi="Arial" w:cs="Arial"/>
          <w:sz w:val="24"/>
          <w:szCs w:val="24"/>
          <w:lang w:eastAsia="en-GB"/>
        </w:rPr>
        <w:t xml:space="preserve"> L</w:t>
      </w:r>
      <w:r w:rsidRPr="006A31AE">
        <w:rPr>
          <w:rFonts w:ascii="Arial" w:eastAsia="Calibri" w:hAnsi="Arial" w:cs="Arial"/>
          <w:sz w:val="24"/>
          <w:szCs w:val="24"/>
          <w:lang w:eastAsia="en-GB"/>
        </w:rPr>
        <w:t>ayer Super Output Area (LSOA) level. LSOAs were created based on 2011 Census data by the Office for National Statistics (ONS).  There are 220 LSOAs in Croydon and each one had between 1,000 and 3,000 people.</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For each deprivation domain, each LSOA is given a score and ranked.  Rank number 1 signifies the most deprived LSOA in the country. Local authority scores are provided based on the average score of all the LSOAs in each authority. </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The rank of average rank is based on the average of the ranks for each LSOA in the authority. The extent of deprivation is a measure of how widespread the deprivation is across the authority. This is based on how many LSOAs in the area are in the top 30% most deprived LSOAs in the country. The rank of concentration compares the most deprived </w:t>
      </w:r>
      <w:r w:rsidRPr="006A31AE">
        <w:rPr>
          <w:rFonts w:ascii="Arial" w:eastAsia="Calibri" w:hAnsi="Arial" w:cs="Arial"/>
          <w:sz w:val="24"/>
          <w:szCs w:val="24"/>
          <w:lang w:eastAsia="en-GB"/>
        </w:rPr>
        <w:t>LSOAs in a local authority against those in other authorities across the country.</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Tables 1 and 2 show that Croydon has become relatively more deprived across 3 of the 4 measures from IMD 2010 to IMD 2015.</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Table 1 – Upper tier authority rankings (out of 152)</w:t>
      </w:r>
    </w:p>
    <w:tbl>
      <w:tblPr>
        <w:tblW w:w="5831" w:type="dxa"/>
        <w:tblInd w:w="108"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3279"/>
        <w:gridCol w:w="1276"/>
        <w:gridCol w:w="1276"/>
      </w:tblGrid>
      <w:tr w:rsidR="006A31AE" w:rsidRPr="006A31AE" w:rsidTr="006A31AE">
        <w:trPr>
          <w:trHeight w:val="303"/>
        </w:trPr>
        <w:tc>
          <w:tcPr>
            <w:tcW w:w="3279" w:type="dxa"/>
            <w:tcBorders>
              <w:top w:val="single" w:sz="12" w:space="0" w:color="auto"/>
              <w:bottom w:val="single" w:sz="12" w:space="0" w:color="auto"/>
            </w:tcBorders>
            <w:shd w:val="clear" w:color="auto" w:fill="auto"/>
          </w:tcPr>
          <w:p w:rsidR="006A31AE" w:rsidRPr="006A31AE" w:rsidRDefault="006A31AE" w:rsidP="006A31AE">
            <w:pPr>
              <w:spacing w:after="200" w:line="276" w:lineRule="auto"/>
              <w:rPr>
                <w:rFonts w:ascii="Arial" w:eastAsia="Calibri" w:hAnsi="Arial" w:cs="Arial"/>
                <w:b/>
                <w:sz w:val="24"/>
                <w:szCs w:val="24"/>
              </w:rPr>
            </w:pPr>
            <w:r w:rsidRPr="006A31AE">
              <w:rPr>
                <w:rFonts w:ascii="Arial" w:eastAsia="Calibri" w:hAnsi="Arial" w:cs="Arial"/>
                <w:b/>
                <w:sz w:val="24"/>
                <w:szCs w:val="24"/>
              </w:rPr>
              <w:t>Index Measure</w:t>
            </w:r>
          </w:p>
        </w:tc>
        <w:tc>
          <w:tcPr>
            <w:tcW w:w="1276" w:type="dxa"/>
            <w:tcBorders>
              <w:top w:val="single" w:sz="12" w:space="0" w:color="auto"/>
              <w:bottom w:val="single" w:sz="12" w:space="0" w:color="auto"/>
            </w:tcBorders>
            <w:shd w:val="clear" w:color="auto" w:fill="auto"/>
          </w:tcPr>
          <w:p w:rsidR="006A31AE" w:rsidRPr="006A31AE" w:rsidRDefault="006A31AE" w:rsidP="006A31AE">
            <w:pPr>
              <w:spacing w:after="200" w:line="276" w:lineRule="auto"/>
              <w:rPr>
                <w:rFonts w:ascii="Arial" w:eastAsia="Calibri" w:hAnsi="Arial" w:cs="Arial"/>
                <w:b/>
                <w:sz w:val="24"/>
                <w:szCs w:val="24"/>
              </w:rPr>
            </w:pPr>
            <w:r w:rsidRPr="006A31AE">
              <w:rPr>
                <w:rFonts w:ascii="Arial" w:eastAsia="Calibri" w:hAnsi="Arial" w:cs="Arial"/>
                <w:b/>
                <w:sz w:val="24"/>
                <w:szCs w:val="24"/>
              </w:rPr>
              <w:t>IMD 2010</w:t>
            </w:r>
          </w:p>
        </w:tc>
        <w:tc>
          <w:tcPr>
            <w:tcW w:w="1276" w:type="dxa"/>
            <w:tcBorders>
              <w:top w:val="single" w:sz="12" w:space="0" w:color="auto"/>
              <w:bottom w:val="single" w:sz="12" w:space="0" w:color="auto"/>
            </w:tcBorders>
            <w:shd w:val="clear" w:color="auto" w:fill="auto"/>
          </w:tcPr>
          <w:p w:rsidR="006A31AE" w:rsidRPr="006A31AE" w:rsidRDefault="006A31AE" w:rsidP="006A31AE">
            <w:pPr>
              <w:spacing w:after="200" w:line="276" w:lineRule="auto"/>
              <w:rPr>
                <w:rFonts w:ascii="Arial" w:eastAsia="Calibri" w:hAnsi="Arial" w:cs="Arial"/>
                <w:b/>
                <w:sz w:val="24"/>
                <w:szCs w:val="24"/>
              </w:rPr>
            </w:pPr>
            <w:r w:rsidRPr="006A31AE">
              <w:rPr>
                <w:rFonts w:ascii="Arial" w:eastAsia="Calibri" w:hAnsi="Arial" w:cs="Arial"/>
                <w:b/>
                <w:sz w:val="24"/>
                <w:szCs w:val="24"/>
              </w:rPr>
              <w:t>IMD 2015</w:t>
            </w:r>
          </w:p>
        </w:tc>
      </w:tr>
      <w:tr w:rsidR="006A31AE" w:rsidRPr="006A31AE" w:rsidTr="006A31AE">
        <w:trPr>
          <w:trHeight w:val="309"/>
        </w:trPr>
        <w:tc>
          <w:tcPr>
            <w:tcW w:w="3279" w:type="dxa"/>
            <w:tcBorders>
              <w:top w:val="single" w:sz="12" w:space="0" w:color="auto"/>
            </w:tcBorders>
            <w:shd w:val="clear" w:color="auto" w:fill="auto"/>
          </w:tcPr>
          <w:p w:rsidR="006A31AE" w:rsidRPr="006A31AE" w:rsidRDefault="006A31AE" w:rsidP="006A31AE">
            <w:pPr>
              <w:spacing w:after="0" w:line="276" w:lineRule="auto"/>
              <w:rPr>
                <w:rFonts w:ascii="Arial" w:eastAsia="Calibri" w:hAnsi="Arial" w:cs="Arial"/>
                <w:sz w:val="24"/>
                <w:szCs w:val="24"/>
              </w:rPr>
            </w:pPr>
            <w:r w:rsidRPr="006A31AE">
              <w:rPr>
                <w:rFonts w:ascii="Arial" w:eastAsia="Calibri" w:hAnsi="Arial" w:cs="Arial"/>
                <w:sz w:val="24"/>
                <w:szCs w:val="24"/>
              </w:rPr>
              <w:t>Rank of average rank</w:t>
            </w:r>
          </w:p>
        </w:tc>
        <w:tc>
          <w:tcPr>
            <w:tcW w:w="1276" w:type="dxa"/>
            <w:tcBorders>
              <w:top w:val="single" w:sz="12" w:space="0" w:color="auto"/>
            </w:tcBorders>
            <w:shd w:val="clear" w:color="auto" w:fill="auto"/>
          </w:tcPr>
          <w:p w:rsidR="006A31AE" w:rsidRPr="006A31AE" w:rsidRDefault="006A31AE" w:rsidP="006A31AE">
            <w:pPr>
              <w:spacing w:after="0" w:line="276" w:lineRule="auto"/>
              <w:jc w:val="right"/>
              <w:rPr>
                <w:rFonts w:ascii="Arial" w:eastAsia="Calibri" w:hAnsi="Arial" w:cs="Arial"/>
                <w:sz w:val="24"/>
                <w:szCs w:val="24"/>
              </w:rPr>
            </w:pPr>
            <w:r w:rsidRPr="006A31AE">
              <w:rPr>
                <w:rFonts w:ascii="Arial" w:eastAsia="Calibri" w:hAnsi="Arial" w:cs="Arial"/>
                <w:sz w:val="24"/>
                <w:szCs w:val="24"/>
              </w:rPr>
              <w:t>70</w:t>
            </w:r>
          </w:p>
        </w:tc>
        <w:tc>
          <w:tcPr>
            <w:tcW w:w="1276" w:type="dxa"/>
            <w:tcBorders>
              <w:top w:val="single" w:sz="12" w:space="0" w:color="auto"/>
            </w:tcBorders>
            <w:shd w:val="clear" w:color="auto" w:fill="auto"/>
          </w:tcPr>
          <w:p w:rsidR="006A31AE" w:rsidRPr="006A31AE" w:rsidRDefault="006A31AE" w:rsidP="006A31AE">
            <w:pPr>
              <w:spacing w:after="0" w:line="276" w:lineRule="auto"/>
              <w:jc w:val="right"/>
              <w:rPr>
                <w:rFonts w:ascii="Arial" w:eastAsia="Calibri" w:hAnsi="Arial" w:cs="Arial"/>
                <w:sz w:val="24"/>
                <w:szCs w:val="24"/>
              </w:rPr>
            </w:pPr>
            <w:r w:rsidRPr="006A31AE">
              <w:rPr>
                <w:rFonts w:ascii="Arial" w:eastAsia="Calibri" w:hAnsi="Arial" w:cs="Arial"/>
                <w:sz w:val="24"/>
                <w:szCs w:val="24"/>
              </w:rPr>
              <w:t>64</w:t>
            </w:r>
          </w:p>
        </w:tc>
      </w:tr>
      <w:tr w:rsidR="006A31AE" w:rsidRPr="006A31AE" w:rsidTr="006A31AE">
        <w:trPr>
          <w:trHeight w:val="303"/>
        </w:trPr>
        <w:tc>
          <w:tcPr>
            <w:tcW w:w="3279" w:type="dxa"/>
            <w:shd w:val="clear" w:color="auto" w:fill="auto"/>
          </w:tcPr>
          <w:p w:rsidR="006A31AE" w:rsidRPr="006A31AE" w:rsidRDefault="006A31AE" w:rsidP="006A31AE">
            <w:pPr>
              <w:spacing w:after="0" w:line="276" w:lineRule="auto"/>
              <w:rPr>
                <w:rFonts w:ascii="Arial" w:eastAsia="Calibri" w:hAnsi="Arial" w:cs="Arial"/>
                <w:sz w:val="24"/>
                <w:szCs w:val="24"/>
              </w:rPr>
            </w:pPr>
            <w:r w:rsidRPr="006A31AE">
              <w:rPr>
                <w:rFonts w:ascii="Arial" w:eastAsia="Calibri" w:hAnsi="Arial" w:cs="Arial"/>
                <w:sz w:val="24"/>
                <w:szCs w:val="24"/>
              </w:rPr>
              <w:t>Rank of average score</w:t>
            </w:r>
          </w:p>
        </w:tc>
        <w:tc>
          <w:tcPr>
            <w:tcW w:w="1276" w:type="dxa"/>
            <w:shd w:val="clear" w:color="auto" w:fill="auto"/>
          </w:tcPr>
          <w:p w:rsidR="006A31AE" w:rsidRPr="006A31AE" w:rsidRDefault="006A31AE" w:rsidP="006A31AE">
            <w:pPr>
              <w:spacing w:after="0" w:line="276" w:lineRule="auto"/>
              <w:jc w:val="right"/>
              <w:rPr>
                <w:rFonts w:ascii="Arial" w:eastAsia="Calibri" w:hAnsi="Arial" w:cs="Arial"/>
                <w:sz w:val="24"/>
                <w:szCs w:val="24"/>
              </w:rPr>
            </w:pPr>
            <w:r w:rsidRPr="006A31AE">
              <w:rPr>
                <w:rFonts w:ascii="Arial" w:eastAsia="Calibri" w:hAnsi="Arial" w:cs="Arial"/>
                <w:sz w:val="24"/>
                <w:szCs w:val="24"/>
              </w:rPr>
              <w:t>77</w:t>
            </w:r>
          </w:p>
        </w:tc>
        <w:tc>
          <w:tcPr>
            <w:tcW w:w="1276" w:type="dxa"/>
            <w:shd w:val="clear" w:color="auto" w:fill="auto"/>
          </w:tcPr>
          <w:p w:rsidR="006A31AE" w:rsidRPr="006A31AE" w:rsidRDefault="006A31AE" w:rsidP="006A31AE">
            <w:pPr>
              <w:spacing w:after="0" w:line="276" w:lineRule="auto"/>
              <w:jc w:val="right"/>
              <w:rPr>
                <w:rFonts w:ascii="Arial" w:eastAsia="Calibri" w:hAnsi="Arial" w:cs="Arial"/>
                <w:sz w:val="24"/>
                <w:szCs w:val="24"/>
              </w:rPr>
            </w:pPr>
            <w:r w:rsidRPr="006A31AE">
              <w:rPr>
                <w:rFonts w:ascii="Arial" w:eastAsia="Calibri" w:hAnsi="Arial" w:cs="Arial"/>
                <w:sz w:val="24"/>
                <w:szCs w:val="24"/>
              </w:rPr>
              <w:t>71</w:t>
            </w:r>
          </w:p>
        </w:tc>
      </w:tr>
      <w:tr w:rsidR="006A31AE" w:rsidRPr="006A31AE" w:rsidTr="006A31AE">
        <w:trPr>
          <w:trHeight w:val="303"/>
        </w:trPr>
        <w:tc>
          <w:tcPr>
            <w:tcW w:w="3279" w:type="dxa"/>
            <w:shd w:val="clear" w:color="auto" w:fill="auto"/>
          </w:tcPr>
          <w:p w:rsidR="006A31AE" w:rsidRPr="006A31AE" w:rsidRDefault="006A31AE" w:rsidP="006A31AE">
            <w:pPr>
              <w:spacing w:after="0" w:line="276" w:lineRule="auto"/>
              <w:rPr>
                <w:rFonts w:ascii="Arial" w:eastAsia="Calibri" w:hAnsi="Arial" w:cs="Arial"/>
                <w:sz w:val="24"/>
                <w:szCs w:val="24"/>
              </w:rPr>
            </w:pPr>
            <w:r w:rsidRPr="006A31AE">
              <w:rPr>
                <w:rFonts w:ascii="Arial" w:eastAsia="Calibri" w:hAnsi="Arial" w:cs="Arial"/>
                <w:sz w:val="24"/>
                <w:szCs w:val="24"/>
              </w:rPr>
              <w:t>Rank of extent of deprivation</w:t>
            </w:r>
          </w:p>
        </w:tc>
        <w:tc>
          <w:tcPr>
            <w:tcW w:w="1276" w:type="dxa"/>
            <w:shd w:val="clear" w:color="auto" w:fill="auto"/>
          </w:tcPr>
          <w:p w:rsidR="006A31AE" w:rsidRPr="006A31AE" w:rsidRDefault="006A31AE" w:rsidP="006A31AE">
            <w:pPr>
              <w:spacing w:after="0" w:line="276" w:lineRule="auto"/>
              <w:jc w:val="right"/>
              <w:rPr>
                <w:rFonts w:ascii="Arial" w:eastAsia="Calibri" w:hAnsi="Arial" w:cs="Arial"/>
                <w:sz w:val="24"/>
                <w:szCs w:val="24"/>
              </w:rPr>
            </w:pPr>
            <w:r w:rsidRPr="006A31AE">
              <w:rPr>
                <w:rFonts w:ascii="Arial" w:eastAsia="Calibri" w:hAnsi="Arial" w:cs="Arial"/>
                <w:sz w:val="24"/>
                <w:szCs w:val="24"/>
              </w:rPr>
              <w:t>80</w:t>
            </w:r>
          </w:p>
        </w:tc>
        <w:tc>
          <w:tcPr>
            <w:tcW w:w="1276" w:type="dxa"/>
            <w:shd w:val="clear" w:color="auto" w:fill="auto"/>
          </w:tcPr>
          <w:p w:rsidR="006A31AE" w:rsidRPr="006A31AE" w:rsidRDefault="006A31AE" w:rsidP="006A31AE">
            <w:pPr>
              <w:spacing w:after="0" w:line="276" w:lineRule="auto"/>
              <w:jc w:val="right"/>
              <w:rPr>
                <w:rFonts w:ascii="Arial" w:eastAsia="Calibri" w:hAnsi="Arial" w:cs="Arial"/>
                <w:sz w:val="24"/>
                <w:szCs w:val="24"/>
              </w:rPr>
            </w:pPr>
            <w:r w:rsidRPr="006A31AE">
              <w:rPr>
                <w:rFonts w:ascii="Arial" w:eastAsia="Calibri" w:hAnsi="Arial" w:cs="Arial"/>
                <w:sz w:val="24"/>
                <w:szCs w:val="24"/>
              </w:rPr>
              <w:t>73</w:t>
            </w:r>
          </w:p>
        </w:tc>
      </w:tr>
      <w:tr w:rsidR="006A31AE" w:rsidRPr="006A31AE" w:rsidTr="006A31AE">
        <w:trPr>
          <w:trHeight w:val="303"/>
        </w:trPr>
        <w:tc>
          <w:tcPr>
            <w:tcW w:w="3279" w:type="dxa"/>
            <w:shd w:val="clear" w:color="auto" w:fill="auto"/>
          </w:tcPr>
          <w:p w:rsidR="006A31AE" w:rsidRPr="006A31AE" w:rsidRDefault="006A31AE" w:rsidP="006A31AE">
            <w:pPr>
              <w:spacing w:after="0" w:line="276" w:lineRule="auto"/>
              <w:rPr>
                <w:rFonts w:ascii="Arial" w:eastAsia="Calibri" w:hAnsi="Arial" w:cs="Arial"/>
                <w:sz w:val="24"/>
                <w:szCs w:val="24"/>
              </w:rPr>
            </w:pPr>
            <w:r w:rsidRPr="006A31AE">
              <w:rPr>
                <w:rFonts w:ascii="Arial" w:eastAsia="Calibri" w:hAnsi="Arial" w:cs="Arial"/>
                <w:sz w:val="24"/>
                <w:szCs w:val="24"/>
              </w:rPr>
              <w:t>Rank of concentration</w:t>
            </w:r>
          </w:p>
        </w:tc>
        <w:tc>
          <w:tcPr>
            <w:tcW w:w="1276" w:type="dxa"/>
            <w:shd w:val="clear" w:color="auto" w:fill="auto"/>
          </w:tcPr>
          <w:p w:rsidR="006A31AE" w:rsidRPr="006A31AE" w:rsidRDefault="006A31AE" w:rsidP="006A31AE">
            <w:pPr>
              <w:spacing w:after="0" w:line="276" w:lineRule="auto"/>
              <w:jc w:val="right"/>
              <w:rPr>
                <w:rFonts w:ascii="Arial" w:eastAsia="Calibri" w:hAnsi="Arial" w:cs="Arial"/>
                <w:sz w:val="24"/>
                <w:szCs w:val="24"/>
              </w:rPr>
            </w:pPr>
            <w:r w:rsidRPr="006A31AE">
              <w:rPr>
                <w:rFonts w:ascii="Arial" w:eastAsia="Calibri" w:hAnsi="Arial" w:cs="Arial"/>
                <w:sz w:val="24"/>
                <w:szCs w:val="24"/>
              </w:rPr>
              <w:t>93</w:t>
            </w:r>
          </w:p>
        </w:tc>
        <w:tc>
          <w:tcPr>
            <w:tcW w:w="1276" w:type="dxa"/>
            <w:shd w:val="clear" w:color="auto" w:fill="auto"/>
          </w:tcPr>
          <w:p w:rsidR="006A31AE" w:rsidRPr="006A31AE" w:rsidRDefault="006A31AE" w:rsidP="006A31AE">
            <w:pPr>
              <w:spacing w:after="0" w:line="276" w:lineRule="auto"/>
              <w:jc w:val="right"/>
              <w:rPr>
                <w:rFonts w:ascii="Arial" w:eastAsia="Calibri" w:hAnsi="Arial" w:cs="Arial"/>
                <w:sz w:val="24"/>
                <w:szCs w:val="24"/>
              </w:rPr>
            </w:pPr>
            <w:r w:rsidRPr="006A31AE">
              <w:rPr>
                <w:rFonts w:ascii="Arial" w:eastAsia="Calibri" w:hAnsi="Arial" w:cs="Arial"/>
                <w:sz w:val="24"/>
                <w:szCs w:val="24"/>
              </w:rPr>
              <w:t>95</w:t>
            </w:r>
          </w:p>
        </w:tc>
      </w:tr>
    </w:tbl>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r w:rsidRPr="006A31AE">
        <w:rPr>
          <w:rFonts w:ascii="Arial" w:eastAsia="Calibri" w:hAnsi="Arial" w:cs="Arial"/>
          <w:sz w:val="24"/>
          <w:szCs w:val="24"/>
          <w:lang w:eastAsia="en-GB"/>
        </w:rPr>
        <w:t>Table 2 – Lower tier authority rankings (out of 326)</w:t>
      </w:r>
    </w:p>
    <w:p w:rsidR="006A31AE" w:rsidRPr="006A31AE" w:rsidRDefault="006A31AE" w:rsidP="006A31AE">
      <w:pPr>
        <w:spacing w:after="0" w:line="276" w:lineRule="auto"/>
        <w:rPr>
          <w:rFonts w:ascii="Arial" w:eastAsia="Calibri" w:hAnsi="Arial" w:cs="Arial"/>
          <w:sz w:val="24"/>
          <w:szCs w:val="24"/>
          <w:lang w:eastAsia="en-GB"/>
        </w:rPr>
      </w:pPr>
    </w:p>
    <w:tbl>
      <w:tblPr>
        <w:tblW w:w="5831" w:type="dxa"/>
        <w:tblInd w:w="108" w:type="dxa"/>
        <w:tblBorders>
          <w:top w:val="single" w:sz="12" w:space="0" w:color="auto"/>
          <w:left w:val="single" w:sz="12" w:space="0" w:color="auto"/>
          <w:bottom w:val="single" w:sz="12" w:space="0" w:color="auto"/>
          <w:right w:val="single" w:sz="12" w:space="0" w:color="auto"/>
          <w:insideH w:val="single" w:sz="2" w:space="0" w:color="auto"/>
          <w:insideV w:val="single" w:sz="2" w:space="0" w:color="auto"/>
        </w:tblBorders>
        <w:tblLook w:val="04A0" w:firstRow="1" w:lastRow="0" w:firstColumn="1" w:lastColumn="0" w:noHBand="0" w:noVBand="1"/>
      </w:tblPr>
      <w:tblGrid>
        <w:gridCol w:w="3279"/>
        <w:gridCol w:w="1276"/>
        <w:gridCol w:w="1276"/>
      </w:tblGrid>
      <w:tr w:rsidR="006A31AE" w:rsidRPr="006A31AE" w:rsidTr="006A31AE">
        <w:trPr>
          <w:trHeight w:val="102"/>
        </w:trPr>
        <w:tc>
          <w:tcPr>
            <w:tcW w:w="3279" w:type="dxa"/>
            <w:tcBorders>
              <w:top w:val="single" w:sz="12" w:space="0" w:color="auto"/>
              <w:bottom w:val="single" w:sz="12" w:space="0" w:color="auto"/>
            </w:tcBorders>
            <w:shd w:val="clear" w:color="auto" w:fill="auto"/>
          </w:tcPr>
          <w:p w:rsidR="006A31AE" w:rsidRPr="006A31AE" w:rsidRDefault="006A31AE" w:rsidP="006A31AE">
            <w:pPr>
              <w:spacing w:after="0" w:line="276" w:lineRule="auto"/>
              <w:rPr>
                <w:rFonts w:ascii="Arial" w:eastAsia="Calibri" w:hAnsi="Arial" w:cs="Arial"/>
                <w:b/>
                <w:sz w:val="24"/>
                <w:szCs w:val="24"/>
              </w:rPr>
            </w:pPr>
            <w:r w:rsidRPr="006A31AE">
              <w:rPr>
                <w:rFonts w:ascii="Arial" w:eastAsia="Calibri" w:hAnsi="Arial" w:cs="Arial"/>
                <w:b/>
                <w:sz w:val="24"/>
                <w:szCs w:val="24"/>
              </w:rPr>
              <w:t>Index Measure</w:t>
            </w:r>
          </w:p>
        </w:tc>
        <w:tc>
          <w:tcPr>
            <w:tcW w:w="1276" w:type="dxa"/>
            <w:tcBorders>
              <w:top w:val="single" w:sz="12" w:space="0" w:color="auto"/>
              <w:bottom w:val="single" w:sz="12" w:space="0" w:color="auto"/>
            </w:tcBorders>
            <w:shd w:val="clear" w:color="auto" w:fill="auto"/>
          </w:tcPr>
          <w:p w:rsidR="006A31AE" w:rsidRPr="006A31AE" w:rsidRDefault="006A31AE" w:rsidP="006A31AE">
            <w:pPr>
              <w:spacing w:after="0" w:line="276" w:lineRule="auto"/>
              <w:rPr>
                <w:rFonts w:ascii="Arial" w:eastAsia="Calibri" w:hAnsi="Arial" w:cs="Arial"/>
                <w:b/>
                <w:sz w:val="24"/>
                <w:szCs w:val="24"/>
              </w:rPr>
            </w:pPr>
            <w:r w:rsidRPr="006A31AE">
              <w:rPr>
                <w:rFonts w:ascii="Arial" w:eastAsia="Calibri" w:hAnsi="Arial" w:cs="Arial"/>
                <w:b/>
                <w:sz w:val="24"/>
                <w:szCs w:val="24"/>
              </w:rPr>
              <w:t>IMD 2010</w:t>
            </w:r>
          </w:p>
        </w:tc>
        <w:tc>
          <w:tcPr>
            <w:tcW w:w="1276" w:type="dxa"/>
            <w:tcBorders>
              <w:top w:val="single" w:sz="12" w:space="0" w:color="auto"/>
              <w:bottom w:val="single" w:sz="12" w:space="0" w:color="auto"/>
            </w:tcBorders>
            <w:shd w:val="clear" w:color="auto" w:fill="auto"/>
          </w:tcPr>
          <w:p w:rsidR="006A31AE" w:rsidRPr="006A31AE" w:rsidRDefault="006A31AE" w:rsidP="006A31AE">
            <w:pPr>
              <w:spacing w:after="0" w:line="276" w:lineRule="auto"/>
              <w:rPr>
                <w:rFonts w:ascii="Arial" w:eastAsia="Calibri" w:hAnsi="Arial" w:cs="Arial"/>
                <w:b/>
                <w:sz w:val="24"/>
                <w:szCs w:val="24"/>
              </w:rPr>
            </w:pPr>
            <w:r w:rsidRPr="006A31AE">
              <w:rPr>
                <w:rFonts w:ascii="Arial" w:eastAsia="Calibri" w:hAnsi="Arial" w:cs="Arial"/>
                <w:b/>
                <w:sz w:val="24"/>
                <w:szCs w:val="24"/>
              </w:rPr>
              <w:t>IMD 2015</w:t>
            </w:r>
          </w:p>
        </w:tc>
      </w:tr>
      <w:tr w:rsidR="006A31AE" w:rsidRPr="006A31AE" w:rsidTr="006A31AE">
        <w:trPr>
          <w:trHeight w:val="105"/>
        </w:trPr>
        <w:tc>
          <w:tcPr>
            <w:tcW w:w="3279" w:type="dxa"/>
            <w:tcBorders>
              <w:top w:val="single" w:sz="12" w:space="0" w:color="auto"/>
            </w:tcBorders>
            <w:shd w:val="clear" w:color="auto" w:fill="auto"/>
          </w:tcPr>
          <w:p w:rsidR="006A31AE" w:rsidRPr="006A31AE" w:rsidRDefault="006A31AE" w:rsidP="006A31AE">
            <w:pPr>
              <w:spacing w:after="0" w:line="276" w:lineRule="auto"/>
              <w:rPr>
                <w:rFonts w:ascii="Arial" w:eastAsia="Calibri" w:hAnsi="Arial" w:cs="Arial"/>
                <w:sz w:val="24"/>
                <w:szCs w:val="24"/>
              </w:rPr>
            </w:pPr>
            <w:r w:rsidRPr="006A31AE">
              <w:rPr>
                <w:rFonts w:ascii="Arial" w:eastAsia="Calibri" w:hAnsi="Arial" w:cs="Arial"/>
                <w:sz w:val="24"/>
                <w:szCs w:val="24"/>
              </w:rPr>
              <w:t>Rank of average rank</w:t>
            </w:r>
          </w:p>
        </w:tc>
        <w:tc>
          <w:tcPr>
            <w:tcW w:w="1276" w:type="dxa"/>
            <w:tcBorders>
              <w:top w:val="single" w:sz="12" w:space="0" w:color="auto"/>
            </w:tcBorders>
            <w:shd w:val="clear" w:color="auto" w:fill="auto"/>
          </w:tcPr>
          <w:p w:rsidR="006A31AE" w:rsidRPr="006A31AE" w:rsidRDefault="006A31AE" w:rsidP="006A31AE">
            <w:pPr>
              <w:spacing w:after="0" w:line="276" w:lineRule="auto"/>
              <w:jc w:val="right"/>
              <w:rPr>
                <w:rFonts w:ascii="Arial" w:eastAsia="Calibri" w:hAnsi="Arial" w:cs="Arial"/>
                <w:sz w:val="24"/>
                <w:szCs w:val="24"/>
              </w:rPr>
            </w:pPr>
            <w:r w:rsidRPr="006A31AE">
              <w:rPr>
                <w:rFonts w:ascii="Arial" w:eastAsia="Calibri" w:hAnsi="Arial" w:cs="Arial"/>
                <w:sz w:val="24"/>
                <w:szCs w:val="24"/>
              </w:rPr>
              <w:t>99</w:t>
            </w:r>
          </w:p>
        </w:tc>
        <w:tc>
          <w:tcPr>
            <w:tcW w:w="1276" w:type="dxa"/>
            <w:tcBorders>
              <w:top w:val="single" w:sz="12" w:space="0" w:color="auto"/>
            </w:tcBorders>
            <w:shd w:val="clear" w:color="auto" w:fill="auto"/>
          </w:tcPr>
          <w:p w:rsidR="006A31AE" w:rsidRPr="006A31AE" w:rsidRDefault="006A31AE" w:rsidP="006A31AE">
            <w:pPr>
              <w:spacing w:after="0" w:line="276" w:lineRule="auto"/>
              <w:jc w:val="right"/>
              <w:rPr>
                <w:rFonts w:ascii="Arial" w:eastAsia="Calibri" w:hAnsi="Arial" w:cs="Arial"/>
                <w:sz w:val="24"/>
                <w:szCs w:val="24"/>
              </w:rPr>
            </w:pPr>
            <w:r w:rsidRPr="006A31AE">
              <w:rPr>
                <w:rFonts w:ascii="Arial" w:eastAsia="Calibri" w:hAnsi="Arial" w:cs="Arial"/>
                <w:sz w:val="24"/>
                <w:szCs w:val="24"/>
              </w:rPr>
              <w:t>91</w:t>
            </w:r>
          </w:p>
        </w:tc>
      </w:tr>
      <w:tr w:rsidR="006A31AE" w:rsidRPr="006A31AE" w:rsidTr="006A31AE">
        <w:trPr>
          <w:trHeight w:val="102"/>
        </w:trPr>
        <w:tc>
          <w:tcPr>
            <w:tcW w:w="3279" w:type="dxa"/>
            <w:shd w:val="clear" w:color="auto" w:fill="auto"/>
          </w:tcPr>
          <w:p w:rsidR="006A31AE" w:rsidRPr="006A31AE" w:rsidRDefault="006A31AE" w:rsidP="006A31AE">
            <w:pPr>
              <w:spacing w:after="0" w:line="276" w:lineRule="auto"/>
              <w:rPr>
                <w:rFonts w:ascii="Arial" w:eastAsia="Calibri" w:hAnsi="Arial" w:cs="Arial"/>
                <w:sz w:val="24"/>
                <w:szCs w:val="24"/>
              </w:rPr>
            </w:pPr>
            <w:r w:rsidRPr="006A31AE">
              <w:rPr>
                <w:rFonts w:ascii="Arial" w:eastAsia="Calibri" w:hAnsi="Arial" w:cs="Arial"/>
                <w:sz w:val="24"/>
                <w:szCs w:val="24"/>
              </w:rPr>
              <w:t>Rank of average score</w:t>
            </w:r>
          </w:p>
        </w:tc>
        <w:tc>
          <w:tcPr>
            <w:tcW w:w="1276" w:type="dxa"/>
            <w:shd w:val="clear" w:color="auto" w:fill="auto"/>
          </w:tcPr>
          <w:p w:rsidR="006A31AE" w:rsidRPr="006A31AE" w:rsidRDefault="006A31AE" w:rsidP="006A31AE">
            <w:pPr>
              <w:spacing w:after="0" w:line="276" w:lineRule="auto"/>
              <w:jc w:val="right"/>
              <w:rPr>
                <w:rFonts w:ascii="Arial" w:eastAsia="Calibri" w:hAnsi="Arial" w:cs="Arial"/>
                <w:sz w:val="24"/>
                <w:szCs w:val="24"/>
              </w:rPr>
            </w:pPr>
            <w:r w:rsidRPr="006A31AE">
              <w:rPr>
                <w:rFonts w:ascii="Arial" w:eastAsia="Calibri" w:hAnsi="Arial" w:cs="Arial"/>
                <w:sz w:val="24"/>
                <w:szCs w:val="24"/>
              </w:rPr>
              <w:t>107</w:t>
            </w:r>
          </w:p>
        </w:tc>
        <w:tc>
          <w:tcPr>
            <w:tcW w:w="1276" w:type="dxa"/>
            <w:shd w:val="clear" w:color="auto" w:fill="auto"/>
          </w:tcPr>
          <w:p w:rsidR="006A31AE" w:rsidRPr="006A31AE" w:rsidRDefault="006A31AE" w:rsidP="006A31AE">
            <w:pPr>
              <w:spacing w:after="0" w:line="276" w:lineRule="auto"/>
              <w:jc w:val="right"/>
              <w:rPr>
                <w:rFonts w:ascii="Arial" w:eastAsia="Calibri" w:hAnsi="Arial" w:cs="Arial"/>
                <w:sz w:val="24"/>
                <w:szCs w:val="24"/>
              </w:rPr>
            </w:pPr>
            <w:r w:rsidRPr="006A31AE">
              <w:rPr>
                <w:rFonts w:ascii="Arial" w:eastAsia="Calibri" w:hAnsi="Arial" w:cs="Arial"/>
                <w:sz w:val="24"/>
                <w:szCs w:val="24"/>
              </w:rPr>
              <w:t>96</w:t>
            </w:r>
          </w:p>
        </w:tc>
      </w:tr>
      <w:tr w:rsidR="006A31AE" w:rsidRPr="006A31AE" w:rsidTr="006A31AE">
        <w:trPr>
          <w:trHeight w:val="102"/>
        </w:trPr>
        <w:tc>
          <w:tcPr>
            <w:tcW w:w="3279" w:type="dxa"/>
            <w:shd w:val="clear" w:color="auto" w:fill="auto"/>
          </w:tcPr>
          <w:p w:rsidR="006A31AE" w:rsidRPr="006A31AE" w:rsidRDefault="006A31AE" w:rsidP="006A31AE">
            <w:pPr>
              <w:spacing w:after="0" w:line="276" w:lineRule="auto"/>
              <w:rPr>
                <w:rFonts w:ascii="Arial" w:eastAsia="Calibri" w:hAnsi="Arial" w:cs="Arial"/>
                <w:sz w:val="24"/>
                <w:szCs w:val="24"/>
              </w:rPr>
            </w:pPr>
            <w:r w:rsidRPr="006A31AE">
              <w:rPr>
                <w:rFonts w:ascii="Arial" w:eastAsia="Calibri" w:hAnsi="Arial" w:cs="Arial"/>
                <w:sz w:val="24"/>
                <w:szCs w:val="24"/>
              </w:rPr>
              <w:t>Rank of extent of deprivation</w:t>
            </w:r>
          </w:p>
        </w:tc>
        <w:tc>
          <w:tcPr>
            <w:tcW w:w="1276" w:type="dxa"/>
            <w:shd w:val="clear" w:color="auto" w:fill="auto"/>
          </w:tcPr>
          <w:p w:rsidR="006A31AE" w:rsidRPr="006A31AE" w:rsidRDefault="006A31AE" w:rsidP="006A31AE">
            <w:pPr>
              <w:spacing w:after="0" w:line="276" w:lineRule="auto"/>
              <w:jc w:val="right"/>
              <w:rPr>
                <w:rFonts w:ascii="Arial" w:eastAsia="Calibri" w:hAnsi="Arial" w:cs="Arial"/>
                <w:sz w:val="24"/>
                <w:szCs w:val="24"/>
              </w:rPr>
            </w:pPr>
            <w:r w:rsidRPr="006A31AE">
              <w:rPr>
                <w:rFonts w:ascii="Arial" w:eastAsia="Calibri" w:hAnsi="Arial" w:cs="Arial"/>
                <w:sz w:val="24"/>
                <w:szCs w:val="24"/>
              </w:rPr>
              <w:t>114</w:t>
            </w:r>
          </w:p>
        </w:tc>
        <w:tc>
          <w:tcPr>
            <w:tcW w:w="1276" w:type="dxa"/>
            <w:shd w:val="clear" w:color="auto" w:fill="auto"/>
          </w:tcPr>
          <w:p w:rsidR="006A31AE" w:rsidRPr="006A31AE" w:rsidRDefault="006A31AE" w:rsidP="006A31AE">
            <w:pPr>
              <w:spacing w:after="0" w:line="276" w:lineRule="auto"/>
              <w:jc w:val="right"/>
              <w:rPr>
                <w:rFonts w:ascii="Arial" w:eastAsia="Calibri" w:hAnsi="Arial" w:cs="Arial"/>
                <w:sz w:val="24"/>
                <w:szCs w:val="24"/>
              </w:rPr>
            </w:pPr>
            <w:r w:rsidRPr="006A31AE">
              <w:rPr>
                <w:rFonts w:ascii="Arial" w:eastAsia="Calibri" w:hAnsi="Arial" w:cs="Arial"/>
                <w:sz w:val="24"/>
                <w:szCs w:val="24"/>
              </w:rPr>
              <w:t>98</w:t>
            </w:r>
          </w:p>
        </w:tc>
      </w:tr>
      <w:tr w:rsidR="006A31AE" w:rsidRPr="006A31AE" w:rsidTr="006A31AE">
        <w:trPr>
          <w:trHeight w:val="48"/>
        </w:trPr>
        <w:tc>
          <w:tcPr>
            <w:tcW w:w="3279" w:type="dxa"/>
            <w:shd w:val="clear" w:color="auto" w:fill="auto"/>
          </w:tcPr>
          <w:p w:rsidR="006A31AE" w:rsidRPr="006A31AE" w:rsidRDefault="006A31AE" w:rsidP="006A31AE">
            <w:pPr>
              <w:spacing w:after="0" w:line="276" w:lineRule="auto"/>
              <w:rPr>
                <w:rFonts w:ascii="Arial" w:eastAsia="Calibri" w:hAnsi="Arial" w:cs="Arial"/>
                <w:sz w:val="24"/>
                <w:szCs w:val="24"/>
              </w:rPr>
            </w:pPr>
            <w:r w:rsidRPr="006A31AE">
              <w:rPr>
                <w:rFonts w:ascii="Arial" w:eastAsia="Calibri" w:hAnsi="Arial" w:cs="Arial"/>
                <w:sz w:val="24"/>
                <w:szCs w:val="24"/>
              </w:rPr>
              <w:t>Rank of concentration</w:t>
            </w:r>
          </w:p>
        </w:tc>
        <w:tc>
          <w:tcPr>
            <w:tcW w:w="1276" w:type="dxa"/>
            <w:shd w:val="clear" w:color="auto" w:fill="auto"/>
          </w:tcPr>
          <w:p w:rsidR="006A31AE" w:rsidRPr="006A31AE" w:rsidRDefault="006A31AE" w:rsidP="006A31AE">
            <w:pPr>
              <w:spacing w:after="0" w:line="276" w:lineRule="auto"/>
              <w:jc w:val="right"/>
              <w:rPr>
                <w:rFonts w:ascii="Arial" w:eastAsia="Calibri" w:hAnsi="Arial" w:cs="Arial"/>
                <w:sz w:val="24"/>
                <w:szCs w:val="24"/>
              </w:rPr>
            </w:pPr>
            <w:r w:rsidRPr="006A31AE">
              <w:rPr>
                <w:rFonts w:ascii="Arial" w:eastAsia="Calibri" w:hAnsi="Arial" w:cs="Arial"/>
                <w:sz w:val="24"/>
                <w:szCs w:val="24"/>
              </w:rPr>
              <w:t>134</w:t>
            </w:r>
          </w:p>
        </w:tc>
        <w:tc>
          <w:tcPr>
            <w:tcW w:w="1276" w:type="dxa"/>
            <w:shd w:val="clear" w:color="auto" w:fill="auto"/>
          </w:tcPr>
          <w:p w:rsidR="006A31AE" w:rsidRPr="006A31AE" w:rsidRDefault="006A31AE" w:rsidP="006A31AE">
            <w:pPr>
              <w:spacing w:after="0" w:line="276" w:lineRule="auto"/>
              <w:jc w:val="right"/>
              <w:rPr>
                <w:rFonts w:ascii="Arial" w:eastAsia="Calibri" w:hAnsi="Arial" w:cs="Arial"/>
                <w:sz w:val="24"/>
                <w:szCs w:val="24"/>
              </w:rPr>
            </w:pPr>
            <w:r w:rsidRPr="006A31AE">
              <w:rPr>
                <w:rFonts w:ascii="Arial" w:eastAsia="Calibri" w:hAnsi="Arial" w:cs="Arial"/>
                <w:sz w:val="24"/>
                <w:szCs w:val="24"/>
              </w:rPr>
              <w:t>134</w:t>
            </w:r>
          </w:p>
        </w:tc>
      </w:tr>
    </w:tbl>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r w:rsidRPr="006A31AE">
        <w:rPr>
          <w:rFonts w:ascii="Arial" w:eastAsia="Calibri" w:hAnsi="Arial" w:cs="Arial"/>
          <w:sz w:val="24"/>
          <w:szCs w:val="24"/>
          <w:lang w:eastAsia="en-GB"/>
        </w:rPr>
        <w:t>Figures 1 and 2 show that between IMD 2010 and IMD 2015 the overall pattern of deprivation across the borough has remained quite similar.</w:t>
      </w: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Figure 1 – IMD 2010 deciles</w:t>
      </w:r>
    </w:p>
    <w:p w:rsidR="006A31AE" w:rsidRPr="006A31AE" w:rsidRDefault="006A31AE" w:rsidP="006A31AE">
      <w:pPr>
        <w:spacing w:after="0" w:line="240" w:lineRule="auto"/>
        <w:rPr>
          <w:rFonts w:ascii="Arial" w:eastAsia="Times New Roman" w:hAnsi="Arial" w:cs="Arial"/>
          <w:b/>
          <w:bCs/>
          <w:sz w:val="28"/>
          <w:szCs w:val="24"/>
          <w:lang w:eastAsia="en-GB"/>
        </w:rPr>
      </w:pPr>
      <w:r w:rsidRPr="006A31AE">
        <w:rPr>
          <w:rFonts w:ascii="Arial" w:eastAsia="Times New Roman" w:hAnsi="Arial" w:cs="Arial"/>
          <w:b/>
          <w:bCs/>
          <w:noProof/>
          <w:sz w:val="28"/>
          <w:szCs w:val="24"/>
          <w:lang w:eastAsia="en-GB"/>
        </w:rPr>
        <w:drawing>
          <wp:inline distT="0" distB="0" distL="0" distR="0" wp14:anchorId="1E41398C" wp14:editId="47498308">
            <wp:extent cx="4010939" cy="4368800"/>
            <wp:effectExtent l="0" t="0" r="8890" b="0"/>
            <wp:docPr id="1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024499" cy="4383570"/>
                    </a:xfrm>
                    <a:prstGeom prst="rect">
                      <a:avLst/>
                    </a:prstGeom>
                    <a:noFill/>
                  </pic:spPr>
                </pic:pic>
              </a:graphicData>
            </a:graphic>
          </wp:inline>
        </w:drawing>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Source: DCLG and Ordnance Survey (Crown Copyright)</w:t>
      </w:r>
    </w:p>
    <w:p w:rsidR="006A31AE" w:rsidRPr="006A31AE" w:rsidRDefault="006A31AE" w:rsidP="006A31AE">
      <w:pPr>
        <w:spacing w:after="0" w:line="240" w:lineRule="auto"/>
        <w:rPr>
          <w:rFonts w:ascii="Arial" w:eastAsia="Times New Roman" w:hAnsi="Arial" w:cs="Arial"/>
          <w:b/>
          <w:bCs/>
          <w:sz w:val="28"/>
          <w:szCs w:val="24"/>
          <w:lang w:eastAsia="en-GB"/>
        </w:rPr>
      </w:pPr>
    </w:p>
    <w:p w:rsidR="006A31AE" w:rsidRPr="006A31AE" w:rsidRDefault="006A31AE" w:rsidP="006A31AE">
      <w:pPr>
        <w:spacing w:after="0" w:line="240" w:lineRule="auto"/>
        <w:rPr>
          <w:rFonts w:ascii="Arial" w:eastAsia="Times New Roman" w:hAnsi="Arial" w:cs="Arial"/>
          <w:b/>
          <w:bCs/>
          <w:color w:val="92D050"/>
          <w:sz w:val="28"/>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Figure 2 – IMD 2015 deciles</w:t>
      </w:r>
    </w:p>
    <w:p w:rsidR="006A31AE" w:rsidRPr="006A31AE" w:rsidRDefault="006A31AE" w:rsidP="006A31AE">
      <w:pPr>
        <w:spacing w:after="0" w:line="240" w:lineRule="auto"/>
        <w:rPr>
          <w:rFonts w:ascii="Arial" w:eastAsia="Times New Roman" w:hAnsi="Arial" w:cs="Arial"/>
          <w:b/>
          <w:bCs/>
          <w:color w:val="92D050"/>
          <w:sz w:val="28"/>
          <w:szCs w:val="24"/>
          <w:lang w:eastAsia="en-GB"/>
        </w:rPr>
      </w:pPr>
      <w:r w:rsidRPr="006A31AE">
        <w:rPr>
          <w:rFonts w:ascii="Arial" w:eastAsia="Times New Roman" w:hAnsi="Arial" w:cs="Arial"/>
          <w:b/>
          <w:bCs/>
          <w:noProof/>
          <w:color w:val="92D050"/>
          <w:sz w:val="28"/>
          <w:szCs w:val="24"/>
          <w:lang w:eastAsia="en-GB"/>
        </w:rPr>
        <w:drawing>
          <wp:inline distT="0" distB="0" distL="0" distR="0" wp14:anchorId="6A349535" wp14:editId="7E4D0125">
            <wp:extent cx="3873116" cy="4287520"/>
            <wp:effectExtent l="0" t="0" r="0" b="0"/>
            <wp:docPr id="1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886336" cy="4302154"/>
                    </a:xfrm>
                    <a:prstGeom prst="rect">
                      <a:avLst/>
                    </a:prstGeom>
                    <a:noFill/>
                  </pic:spPr>
                </pic:pic>
              </a:graphicData>
            </a:graphic>
          </wp:inline>
        </w:drawing>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Source: DCLG and Ordnance Survey (Crown Copyright)</w:t>
      </w:r>
      <w:bookmarkStart w:id="5" w:name="_IMD_2015_Domains"/>
      <w:bookmarkEnd w:id="5"/>
    </w:p>
    <w:p w:rsidR="006A31AE" w:rsidRPr="006A31AE" w:rsidRDefault="006A31AE" w:rsidP="006A31AE">
      <w:pPr>
        <w:spacing w:after="0" w:line="240" w:lineRule="auto"/>
        <w:outlineLvl w:val="0"/>
        <w:rPr>
          <w:rFonts w:ascii="Arial" w:eastAsia="Times New Roman" w:hAnsi="Arial" w:cs="Arial"/>
          <w:b/>
          <w:bCs/>
          <w:color w:val="701471"/>
          <w:sz w:val="32"/>
          <w:szCs w:val="32"/>
          <w:lang w:eastAsia="en-GB"/>
        </w:rPr>
      </w:pPr>
      <w:r w:rsidRPr="006A31AE">
        <w:rPr>
          <w:rFonts w:ascii="Arial" w:eastAsia="Times New Roman" w:hAnsi="Arial" w:cs="Arial"/>
          <w:b/>
          <w:bCs/>
          <w:color w:val="701471"/>
          <w:sz w:val="32"/>
          <w:szCs w:val="32"/>
          <w:lang w:eastAsia="en-GB"/>
        </w:rPr>
        <w:lastRenderedPageBreak/>
        <w:t>IMD 2015 Domains</w:t>
      </w:r>
    </w:p>
    <w:p w:rsidR="006A31AE" w:rsidRPr="006A31AE" w:rsidRDefault="006A31AE" w:rsidP="006A31AE">
      <w:pPr>
        <w:spacing w:after="0" w:line="240" w:lineRule="auto"/>
        <w:outlineLvl w:val="0"/>
        <w:rPr>
          <w:rFonts w:ascii="Arial" w:eastAsia="Times New Roman" w:hAnsi="Arial" w:cs="Arial"/>
          <w:b/>
          <w:bCs/>
          <w:color w:val="701471"/>
          <w:sz w:val="32"/>
          <w:szCs w:val="32"/>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Income</w:t>
      </w: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Income domain looks at the proportion of the population who are either out of work or who have low earnings. It is based on a number of measures around people who are in receipt of income based benefits as at August 2012.</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score of each LSOA on the income domain contributes towards 22.5% of the LSOA’s overall deprivation score. The overall pattern of income deprivation across the borough mirrors that for overall deprivation.</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Croydon has an average score of 0.162 for the income domain, which places it as the 90</w:t>
      </w:r>
      <w:r w:rsidRPr="006A31AE">
        <w:rPr>
          <w:rFonts w:ascii="Arial" w:eastAsia="Calibri" w:hAnsi="Arial" w:cs="Arial"/>
          <w:sz w:val="24"/>
          <w:szCs w:val="24"/>
          <w:vertAlign w:val="superscript"/>
          <w:lang w:eastAsia="en-GB"/>
        </w:rPr>
        <w:t>th</w:t>
      </w:r>
      <w:r w:rsidRPr="006A31AE">
        <w:rPr>
          <w:rFonts w:ascii="Arial" w:eastAsia="Calibri" w:hAnsi="Arial" w:cs="Arial"/>
          <w:sz w:val="24"/>
          <w:szCs w:val="24"/>
          <w:lang w:eastAsia="en-GB"/>
        </w:rPr>
        <w:t xml:space="preserve"> most deprived local authority out of the 326 districts in England. </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The orange areas are in the top 10% most deprived LSOAs in the country and together make up 5% of the total LSOAs in the borough. Figure 3 shows these are spread out across the borough. </w:t>
      </w:r>
    </w:p>
    <w:p w:rsidR="006A31AE" w:rsidRPr="006A31AE" w:rsidRDefault="00721450" w:rsidP="006A31AE">
      <w:pPr>
        <w:spacing w:after="200" w:line="276" w:lineRule="auto"/>
        <w:rPr>
          <w:rFonts w:ascii="Arial" w:eastAsia="Calibri" w:hAnsi="Arial" w:cs="Arial"/>
          <w:sz w:val="24"/>
          <w:szCs w:val="24"/>
          <w:lang w:eastAsia="en-GB"/>
        </w:rPr>
      </w:pPr>
      <w:r>
        <w:rPr>
          <w:rFonts w:ascii="Arial" w:eastAsia="Calibri" w:hAnsi="Arial" w:cs="Arial"/>
          <w:sz w:val="24"/>
          <w:szCs w:val="24"/>
          <w:lang w:eastAsia="en-GB"/>
        </w:rPr>
        <w:t>There is still a noticeable n</w:t>
      </w:r>
      <w:r w:rsidR="006A31AE" w:rsidRPr="006A31AE">
        <w:rPr>
          <w:rFonts w:ascii="Arial" w:eastAsia="Calibri" w:hAnsi="Arial" w:cs="Arial"/>
          <w:sz w:val="24"/>
          <w:szCs w:val="24"/>
          <w:lang w:eastAsia="en-GB"/>
        </w:rPr>
        <w:t>orth-</w:t>
      </w:r>
      <w:r>
        <w:rPr>
          <w:rFonts w:ascii="Arial" w:eastAsia="Calibri" w:hAnsi="Arial" w:cs="Arial"/>
          <w:sz w:val="24"/>
          <w:szCs w:val="24"/>
          <w:lang w:eastAsia="en-GB"/>
        </w:rPr>
        <w:t>s</w:t>
      </w:r>
      <w:r w:rsidR="006A31AE" w:rsidRPr="006A31AE">
        <w:rPr>
          <w:rFonts w:ascii="Arial" w:eastAsia="Calibri" w:hAnsi="Arial" w:cs="Arial"/>
          <w:sz w:val="24"/>
          <w:szCs w:val="24"/>
          <w:lang w:eastAsia="en-GB"/>
        </w:rPr>
        <w:t xml:space="preserve">outh split with a sizeable number of the LSOAs (in blue) in the </w:t>
      </w:r>
      <w:r w:rsidR="00791BD9">
        <w:rPr>
          <w:rFonts w:ascii="Arial" w:eastAsia="Calibri" w:hAnsi="Arial" w:cs="Arial"/>
          <w:sz w:val="24"/>
          <w:szCs w:val="24"/>
          <w:lang w:eastAsia="en-GB"/>
        </w:rPr>
        <w:t>so</w:t>
      </w:r>
      <w:r w:rsidR="006A31AE" w:rsidRPr="006A31AE">
        <w:rPr>
          <w:rFonts w:ascii="Arial" w:eastAsia="Calibri" w:hAnsi="Arial" w:cs="Arial"/>
          <w:sz w:val="24"/>
          <w:szCs w:val="24"/>
          <w:lang w:eastAsia="en-GB"/>
        </w:rPr>
        <w:t>uth with a lower proportion of people on lower incomes than in the northern parts of the borough.</w:t>
      </w:r>
    </w:p>
    <w:p w:rsidR="006A31AE" w:rsidRDefault="006A31AE" w:rsidP="006A31AE">
      <w:pPr>
        <w:spacing w:after="200" w:line="276" w:lineRule="auto"/>
        <w:rPr>
          <w:rFonts w:ascii="Arial" w:eastAsia="Calibri" w:hAnsi="Arial" w:cs="Arial"/>
          <w:sz w:val="24"/>
          <w:szCs w:val="24"/>
          <w:lang w:eastAsia="en-GB"/>
        </w:rPr>
      </w:pPr>
    </w:p>
    <w:p w:rsidR="00886B8B" w:rsidRPr="006A31AE" w:rsidRDefault="00886B8B"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Figure 3 – Income deciles</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6B31E20C" wp14:editId="73B9DF11">
            <wp:extent cx="3668825" cy="4076700"/>
            <wp:effectExtent l="0" t="0" r="8255" b="0"/>
            <wp:docPr id="20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74410" cy="4082906"/>
                    </a:xfrm>
                    <a:prstGeom prst="rect">
                      <a:avLst/>
                    </a:prstGeom>
                    <a:noFill/>
                  </pic:spPr>
                </pic:pic>
              </a:graphicData>
            </a:graphic>
          </wp:inline>
        </w:drawing>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Source: DCLG and Ordnance Survey (Crown Copyright)</w:t>
      </w: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Employment</w:t>
      </w: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Employment domain looks at the proportion of the labour market who are involuntarily excluded from working due to unemployment, sickness or disability, or caring responsibilities. The data for this is based on benefits data for the period 2012-13 and was adjusted to take into account seasonal variations in the number of claimants.</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Figure 4 shows that there were fewer LSOAs in the top 10% most deprived areas in England for the employment domain than there are for the income domain but the pattern of deprivation across the borough remains broadly the same.</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average score for the Employment domain was 0.115, placing Croydon as the 133</w:t>
      </w:r>
      <w:r w:rsidRPr="006A31AE">
        <w:rPr>
          <w:rFonts w:ascii="Arial" w:eastAsia="Calibri" w:hAnsi="Arial" w:cs="Arial"/>
          <w:sz w:val="24"/>
          <w:szCs w:val="24"/>
          <w:vertAlign w:val="superscript"/>
          <w:lang w:eastAsia="en-GB"/>
        </w:rPr>
        <w:t>rd</w:t>
      </w:r>
      <w:r w:rsidRPr="006A31AE">
        <w:rPr>
          <w:rFonts w:ascii="Arial" w:eastAsia="Calibri" w:hAnsi="Arial" w:cs="Arial"/>
          <w:sz w:val="24"/>
          <w:szCs w:val="24"/>
          <w:lang w:eastAsia="en-GB"/>
        </w:rPr>
        <w:t xml:space="preserve"> most deprived LSOA out of the 326 districts. Only just over 1% of LSOAs in Croydon were in the most deprived 10% of areas in England.</w:t>
      </w: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Figure 4 – Employment deciles</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3CAF80FE" wp14:editId="33F466D1">
            <wp:extent cx="4123722" cy="4362450"/>
            <wp:effectExtent l="0" t="0" r="0" b="0"/>
            <wp:docPr id="204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124157" cy="4362910"/>
                    </a:xfrm>
                    <a:prstGeom prst="rect">
                      <a:avLst/>
                    </a:prstGeom>
                    <a:noFill/>
                  </pic:spPr>
                </pic:pic>
              </a:graphicData>
            </a:graphic>
          </wp:inline>
        </w:drawing>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Source: DCLG and Ordnance Survey</w:t>
      </w: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lastRenderedPageBreak/>
        <w:t>Education, skills and training</w:t>
      </w: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Education, skills and training domain looks at the lack of skills and attainment in the population. This includes the attainment and absence of pupils at school, the numbers of young people staying in education post-16, and the progression of young people on to higher education. It also includes the proportion of adults with no qualifications and the proportion of adults who are unable to speak English well.</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data on children and young people is based on three years’ worth of data, with the most recent data included dating from 2012/13. The data on adults was taken from the 2011 Census.</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Croydon was in the bottom third of local authorities in the country for this domain; the average score for the borough was 15.661 making it the 220</w:t>
      </w:r>
      <w:r w:rsidRPr="006A31AE">
        <w:rPr>
          <w:rFonts w:ascii="Arial" w:eastAsia="Calibri" w:hAnsi="Arial" w:cs="Arial"/>
          <w:sz w:val="24"/>
          <w:szCs w:val="24"/>
          <w:vertAlign w:val="superscript"/>
          <w:lang w:eastAsia="en-GB"/>
        </w:rPr>
        <w:t>th</w:t>
      </w:r>
      <w:r w:rsidRPr="006A31AE">
        <w:rPr>
          <w:rFonts w:ascii="Arial" w:eastAsia="Calibri" w:hAnsi="Arial" w:cs="Arial"/>
          <w:sz w:val="24"/>
          <w:szCs w:val="24"/>
          <w:lang w:eastAsia="en-GB"/>
        </w:rPr>
        <w:t xml:space="preserve"> most deprived borough out of the 326 districts. Just over 1% of the LSOAs in Croydon were in the top 10% most deprived areas in the country.</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Areas in the </w:t>
      </w:r>
      <w:r w:rsidR="00721450">
        <w:rPr>
          <w:rFonts w:ascii="Arial" w:eastAsia="Calibri" w:hAnsi="Arial" w:cs="Arial"/>
          <w:sz w:val="24"/>
          <w:szCs w:val="24"/>
          <w:lang w:eastAsia="en-GB"/>
        </w:rPr>
        <w:t>n</w:t>
      </w:r>
      <w:r w:rsidRPr="006A31AE">
        <w:rPr>
          <w:rFonts w:ascii="Arial" w:eastAsia="Calibri" w:hAnsi="Arial" w:cs="Arial"/>
          <w:sz w:val="24"/>
          <w:szCs w:val="24"/>
          <w:lang w:eastAsia="en-GB"/>
        </w:rPr>
        <w:t xml:space="preserve">orth of the borough and the </w:t>
      </w:r>
      <w:r w:rsidR="00721450">
        <w:rPr>
          <w:rFonts w:ascii="Arial" w:eastAsia="Calibri" w:hAnsi="Arial" w:cs="Arial"/>
          <w:sz w:val="24"/>
          <w:szCs w:val="24"/>
          <w:lang w:eastAsia="en-GB"/>
        </w:rPr>
        <w:t>e</w:t>
      </w:r>
      <w:r w:rsidRPr="006A31AE">
        <w:rPr>
          <w:rFonts w:ascii="Arial" w:eastAsia="Calibri" w:hAnsi="Arial" w:cs="Arial"/>
          <w:sz w:val="24"/>
          <w:szCs w:val="24"/>
          <w:lang w:eastAsia="en-GB"/>
        </w:rPr>
        <w:t xml:space="preserve">ast are more deprived in this domain. In the </w:t>
      </w:r>
      <w:r w:rsidR="00721450">
        <w:rPr>
          <w:rFonts w:ascii="Arial" w:eastAsia="Calibri" w:hAnsi="Arial" w:cs="Arial"/>
          <w:sz w:val="24"/>
          <w:szCs w:val="24"/>
          <w:lang w:eastAsia="en-GB"/>
        </w:rPr>
        <w:t>e</w:t>
      </w:r>
      <w:r w:rsidRPr="006A31AE">
        <w:rPr>
          <w:rFonts w:ascii="Arial" w:eastAsia="Calibri" w:hAnsi="Arial" w:cs="Arial"/>
          <w:sz w:val="24"/>
          <w:szCs w:val="24"/>
          <w:lang w:eastAsia="en-GB"/>
        </w:rPr>
        <w:t>ast there are known issues around lower average attainment scores for pupils, and a higher proportion of adults with no qualifications.</w:t>
      </w: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Figure 5 – Education, skills and training deciles</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421931E6" wp14:editId="5B9C1374">
            <wp:extent cx="4320962" cy="4203700"/>
            <wp:effectExtent l="0" t="0" r="3810" b="6350"/>
            <wp:docPr id="205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4325060" cy="4207687"/>
                    </a:xfrm>
                    <a:prstGeom prst="rect">
                      <a:avLst/>
                    </a:prstGeom>
                    <a:noFill/>
                  </pic:spPr>
                </pic:pic>
              </a:graphicData>
            </a:graphic>
          </wp:inline>
        </w:drawing>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Source: DCLG and Ordnance Survey</w:t>
      </w: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Health deprivation and disability</w:t>
      </w: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Health deprivation and disability is based on the risk of premature death and the impairment of quality of life due to poor mental or physical health. It is based on a range of different indicators covering different time periods. The most recent data used is from 2013.</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average score for Croydon for this domain was -0.134, making it the 155</w:t>
      </w:r>
      <w:r w:rsidRPr="006A31AE">
        <w:rPr>
          <w:rFonts w:ascii="Arial" w:eastAsia="Calibri" w:hAnsi="Arial" w:cs="Arial"/>
          <w:sz w:val="24"/>
          <w:szCs w:val="24"/>
          <w:vertAlign w:val="superscript"/>
          <w:lang w:eastAsia="en-GB"/>
        </w:rPr>
        <w:t>th</w:t>
      </w:r>
      <w:r w:rsidRPr="006A31AE">
        <w:rPr>
          <w:rFonts w:ascii="Arial" w:eastAsia="Calibri" w:hAnsi="Arial" w:cs="Arial"/>
          <w:sz w:val="24"/>
          <w:szCs w:val="24"/>
          <w:lang w:eastAsia="en-GB"/>
        </w:rPr>
        <w:t xml:space="preserve"> most deprived authority out of the 326 districts. Again just over 1% of LSOAs were in the top 10% most deprived areas in the country.</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Figure 6 shows the pattern of health deprivation and disability across the borough. Broadly the most deprived areas in Croydon in this domain are in the cent</w:t>
      </w:r>
      <w:r w:rsidR="00FD063C">
        <w:rPr>
          <w:rFonts w:ascii="Arial" w:eastAsia="Calibri" w:hAnsi="Arial" w:cs="Arial"/>
          <w:sz w:val="24"/>
          <w:szCs w:val="24"/>
          <w:lang w:eastAsia="en-GB"/>
        </w:rPr>
        <w:t xml:space="preserve">re of Croydon, and in the </w:t>
      </w:r>
      <w:r w:rsidR="00791BD9">
        <w:rPr>
          <w:rFonts w:ascii="Arial" w:eastAsia="Calibri" w:hAnsi="Arial" w:cs="Arial"/>
          <w:sz w:val="24"/>
          <w:szCs w:val="24"/>
          <w:lang w:eastAsia="en-GB"/>
        </w:rPr>
        <w:t>e</w:t>
      </w:r>
      <w:r w:rsidRPr="006A31AE">
        <w:rPr>
          <w:rFonts w:ascii="Arial" w:eastAsia="Calibri" w:hAnsi="Arial" w:cs="Arial"/>
          <w:sz w:val="24"/>
          <w:szCs w:val="24"/>
          <w:lang w:eastAsia="en-GB"/>
        </w:rPr>
        <w:t>ast of the borough. These areas scored highly across each of the measures used for this domain.</w:t>
      </w: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Figure 6 – Health deprivation and disability deciles</w:t>
      </w:r>
    </w:p>
    <w:p w:rsidR="006A31AE" w:rsidRPr="006A31AE" w:rsidRDefault="006A31AE" w:rsidP="006A31AE">
      <w:pPr>
        <w:spacing w:after="200" w:line="276" w:lineRule="auto"/>
        <w:rPr>
          <w:rFonts w:ascii="Arial" w:eastAsia="Calibri" w:hAnsi="Arial" w:cs="Arial"/>
          <w:sz w:val="24"/>
          <w:szCs w:val="24"/>
          <w:lang w:eastAsia="en-GB"/>
        </w:rPr>
      </w:pPr>
      <w:bookmarkStart w:id="6" w:name="_GoBack"/>
      <w:r w:rsidRPr="006A31AE">
        <w:rPr>
          <w:rFonts w:ascii="Arial" w:eastAsia="Calibri" w:hAnsi="Arial" w:cs="Arial"/>
          <w:noProof/>
          <w:sz w:val="24"/>
          <w:szCs w:val="24"/>
          <w:lang w:eastAsia="en-GB"/>
        </w:rPr>
        <w:drawing>
          <wp:inline distT="0" distB="0" distL="0" distR="0" wp14:anchorId="0DA32D40" wp14:editId="480B9723">
            <wp:extent cx="4283677" cy="4029075"/>
            <wp:effectExtent l="0" t="0" r="3175" b="0"/>
            <wp:docPr id="20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291390" cy="4036329"/>
                    </a:xfrm>
                    <a:prstGeom prst="rect">
                      <a:avLst/>
                    </a:prstGeom>
                    <a:noFill/>
                  </pic:spPr>
                </pic:pic>
              </a:graphicData>
            </a:graphic>
          </wp:inline>
        </w:drawing>
      </w:r>
      <w:bookmarkEnd w:id="6"/>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Source: DCLG and Ordnance Survey</w:t>
      </w:r>
    </w:p>
    <w:p w:rsidR="00886B8B" w:rsidRDefault="00886B8B"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lastRenderedPageBreak/>
        <w:t>Crime</w:t>
      </w: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Crime domain is based on the rates of violence, burglary, theft and criminal damage per 1,000 at-risk population. This at-risk population is the count of the residents in the area plus the number of people who work in the area but are not resident there. The data are based on recorded crimes for 2013/14.</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average score in Croydon was 0.624 making it the 22</w:t>
      </w:r>
      <w:r w:rsidRPr="006A31AE">
        <w:rPr>
          <w:rFonts w:ascii="Arial" w:eastAsia="Calibri" w:hAnsi="Arial" w:cs="Arial"/>
          <w:sz w:val="24"/>
          <w:szCs w:val="24"/>
          <w:vertAlign w:val="superscript"/>
          <w:lang w:eastAsia="en-GB"/>
        </w:rPr>
        <w:t>nd</w:t>
      </w:r>
      <w:r w:rsidRPr="006A31AE">
        <w:rPr>
          <w:rFonts w:ascii="Arial" w:eastAsia="Calibri" w:hAnsi="Arial" w:cs="Arial"/>
          <w:sz w:val="24"/>
          <w:szCs w:val="24"/>
          <w:lang w:eastAsia="en-GB"/>
        </w:rPr>
        <w:t xml:space="preserve"> most deprived authority out of the 326 districts. In fact, 13 of the 33 London boroughs were in the top 25 most deprived authorities in the country and 30 were in the top third. This is not surprising as crime rates in London and other urban areas are higher than in many more rural parts of England.</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25% of LSOAs in the borough were in the top 10% most deprived areas in the country. These L</w:t>
      </w:r>
      <w:r w:rsidR="00721450">
        <w:rPr>
          <w:rFonts w:ascii="Arial" w:eastAsia="Calibri" w:hAnsi="Arial" w:cs="Arial"/>
          <w:sz w:val="24"/>
          <w:szCs w:val="24"/>
          <w:lang w:eastAsia="en-GB"/>
        </w:rPr>
        <w:t>SOAs were predominantly in the n</w:t>
      </w:r>
      <w:r w:rsidRPr="006A31AE">
        <w:rPr>
          <w:rFonts w:ascii="Arial" w:eastAsia="Calibri" w:hAnsi="Arial" w:cs="Arial"/>
          <w:sz w:val="24"/>
          <w:szCs w:val="24"/>
          <w:lang w:eastAsia="en-GB"/>
        </w:rPr>
        <w:t>orth and centre of the borough as can be seen from Figure 7.</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It should be noted that the number of total notifiable offences in Croydon is falling and that latest figures from MOPAC show that crime in London is falling at a faster rate than the national average.</w:t>
      </w:r>
      <w:r w:rsidRPr="006A31AE">
        <w:rPr>
          <w:rFonts w:ascii="Arial" w:eastAsia="Calibri" w:hAnsi="Arial" w:cs="Arial"/>
          <w:sz w:val="24"/>
          <w:szCs w:val="24"/>
          <w:vertAlign w:val="superscript"/>
          <w:lang w:eastAsia="en-GB"/>
        </w:rPr>
        <w:footnoteReference w:id="3"/>
      </w: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Figure 7 - Crime deciles</w:t>
      </w:r>
      <w:r w:rsidRPr="006A31AE">
        <w:rPr>
          <w:rFonts w:ascii="Arial" w:eastAsia="Calibri" w:hAnsi="Arial" w:cs="Arial"/>
          <w:noProof/>
          <w:sz w:val="24"/>
          <w:szCs w:val="24"/>
          <w:lang w:eastAsia="en-GB"/>
        </w:rPr>
        <w:drawing>
          <wp:inline distT="0" distB="0" distL="0" distR="0" wp14:anchorId="7FB1FDF7" wp14:editId="6A68EE47">
            <wp:extent cx="3647440" cy="4048432"/>
            <wp:effectExtent l="0" t="0" r="0" b="9525"/>
            <wp:docPr id="205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56354" cy="4058326"/>
                    </a:xfrm>
                    <a:prstGeom prst="rect">
                      <a:avLst/>
                    </a:prstGeom>
                    <a:noFill/>
                  </pic:spPr>
                </pic:pic>
              </a:graphicData>
            </a:graphic>
          </wp:inline>
        </w:drawing>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Source: DCLG and Ordnance Survey</w:t>
      </w: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lastRenderedPageBreak/>
        <w:t>Barriers to housing and services</w:t>
      </w:r>
    </w:p>
    <w:p w:rsidR="006A31AE" w:rsidRPr="006A31AE" w:rsidRDefault="006A31AE" w:rsidP="006A31AE">
      <w:pPr>
        <w:spacing w:after="0" w:line="276" w:lineRule="auto"/>
        <w:rPr>
          <w:rFonts w:ascii="Arial" w:eastAsia="Calibri" w:hAnsi="Arial" w:cs="Arial"/>
          <w:color w:val="92D050"/>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The barriers to housing and services domain looks at geographical barriers to services and wider barriers. These barriers are based on the average distance to key services such as a GP surgery, primary school, post office, and a general store or supermarket based on data from 2014. The wider barriers include household overcrowding, homelessness and housing affordability. </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average score in Croydon was 31.671, ranking Croydon the 19</w:t>
      </w:r>
      <w:r w:rsidRPr="006A31AE">
        <w:rPr>
          <w:rFonts w:ascii="Arial" w:eastAsia="Calibri" w:hAnsi="Arial" w:cs="Arial"/>
          <w:sz w:val="24"/>
          <w:szCs w:val="24"/>
          <w:vertAlign w:val="superscript"/>
          <w:lang w:eastAsia="en-GB"/>
        </w:rPr>
        <w:t>th</w:t>
      </w:r>
      <w:r w:rsidRPr="006A31AE">
        <w:rPr>
          <w:rFonts w:ascii="Arial" w:eastAsia="Calibri" w:hAnsi="Arial" w:cs="Arial"/>
          <w:sz w:val="24"/>
          <w:szCs w:val="24"/>
          <w:lang w:eastAsia="en-GB"/>
        </w:rPr>
        <w:t xml:space="preserve"> most deprived authority out of the 326 districts. 15 of the 33 London boroughs were in the top 25 most deprived authorities in the country for this domain.</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Figure 8 shows the distribution of the most deprived LSOAs for this domain are more spread out across the borough. Nearly 22% of the LSOAs in Croydon were in the top 10% most deprived areas nationally. None of the LSOAs were in the 20% least deprived areas nationally. </w:t>
      </w:r>
    </w:p>
    <w:p w:rsidR="006A31AE" w:rsidRPr="006A31AE" w:rsidRDefault="00FD063C" w:rsidP="006A31AE">
      <w:pPr>
        <w:spacing w:after="200" w:line="276" w:lineRule="auto"/>
        <w:rPr>
          <w:rFonts w:ascii="Arial" w:eastAsia="Calibri" w:hAnsi="Arial" w:cs="Arial"/>
          <w:sz w:val="24"/>
          <w:szCs w:val="24"/>
          <w:lang w:eastAsia="en-GB"/>
        </w:rPr>
      </w:pPr>
      <w:r>
        <w:rPr>
          <w:rFonts w:ascii="Arial" w:eastAsia="Calibri" w:hAnsi="Arial" w:cs="Arial"/>
          <w:sz w:val="24"/>
          <w:szCs w:val="24"/>
          <w:lang w:eastAsia="en-GB"/>
        </w:rPr>
        <w:t>T</w:t>
      </w:r>
      <w:r w:rsidR="006A31AE" w:rsidRPr="006A31AE">
        <w:rPr>
          <w:rFonts w:ascii="Arial" w:eastAsia="Calibri" w:hAnsi="Arial" w:cs="Arial"/>
          <w:sz w:val="24"/>
          <w:szCs w:val="24"/>
          <w:lang w:eastAsia="en-GB"/>
        </w:rPr>
        <w:t>he homelessness indicator used as part of this domain is based on the number of households accepted as homeless.  A</w:t>
      </w:r>
      <w:r>
        <w:rPr>
          <w:rFonts w:ascii="Arial" w:eastAsia="Calibri" w:hAnsi="Arial" w:cs="Arial"/>
          <w:sz w:val="24"/>
          <w:szCs w:val="24"/>
          <w:lang w:eastAsia="en-GB"/>
        </w:rPr>
        <w:t xml:space="preserve">t the time of data collection, </w:t>
      </w:r>
      <w:r w:rsidR="006A31AE" w:rsidRPr="006A31AE">
        <w:rPr>
          <w:rFonts w:ascii="Arial" w:eastAsia="Calibri" w:hAnsi="Arial" w:cs="Arial"/>
          <w:sz w:val="24"/>
          <w:szCs w:val="24"/>
          <w:lang w:eastAsia="en-GB"/>
        </w:rPr>
        <w:t>Croydon ha</w:t>
      </w:r>
      <w:r>
        <w:rPr>
          <w:rFonts w:ascii="Arial" w:eastAsia="Calibri" w:hAnsi="Arial" w:cs="Arial"/>
          <w:sz w:val="24"/>
          <w:szCs w:val="24"/>
          <w:lang w:eastAsia="en-GB"/>
        </w:rPr>
        <w:t>d</w:t>
      </w:r>
      <w:r w:rsidR="006A31AE" w:rsidRPr="006A31AE">
        <w:rPr>
          <w:rFonts w:ascii="Arial" w:eastAsia="Calibri" w:hAnsi="Arial" w:cs="Arial"/>
          <w:sz w:val="24"/>
          <w:szCs w:val="24"/>
          <w:lang w:eastAsia="en-GB"/>
        </w:rPr>
        <w:t xml:space="preserve"> a higher than average number of homelessness acceptances </w:t>
      </w:r>
      <w:r>
        <w:rPr>
          <w:rFonts w:ascii="Arial" w:eastAsia="Calibri" w:hAnsi="Arial" w:cs="Arial"/>
          <w:sz w:val="24"/>
          <w:szCs w:val="24"/>
          <w:lang w:eastAsia="en-GB"/>
        </w:rPr>
        <w:t xml:space="preserve">which would have significantly affected the </w:t>
      </w:r>
      <w:r w:rsidR="006A31AE" w:rsidRPr="006A31AE">
        <w:rPr>
          <w:rFonts w:ascii="Arial" w:eastAsia="Calibri" w:hAnsi="Arial" w:cs="Arial"/>
          <w:sz w:val="24"/>
          <w:szCs w:val="24"/>
          <w:lang w:eastAsia="en-GB"/>
        </w:rPr>
        <w:t>scores for certain LSOAs.</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 </w:t>
      </w: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Figure 8 - Barriers to housing and services deciles</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568A1C3E" wp14:editId="0B6A596F">
            <wp:extent cx="4406900" cy="4249690"/>
            <wp:effectExtent l="0" t="0" r="0" b="0"/>
            <wp:docPr id="205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408030" cy="4250780"/>
                    </a:xfrm>
                    <a:prstGeom prst="rect">
                      <a:avLst/>
                    </a:prstGeom>
                    <a:noFill/>
                  </pic:spPr>
                </pic:pic>
              </a:graphicData>
            </a:graphic>
          </wp:inline>
        </w:drawing>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Source: DCLG and Ordnance Survey</w:t>
      </w: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Living environment</w:t>
      </w:r>
    </w:p>
    <w:p w:rsidR="006A31AE" w:rsidRPr="006A31AE" w:rsidRDefault="006A31AE" w:rsidP="006A31AE">
      <w:pPr>
        <w:spacing w:after="0" w:line="276" w:lineRule="auto"/>
        <w:rPr>
          <w:rFonts w:ascii="Arial" w:eastAsia="Calibri" w:hAnsi="Arial" w:cs="Arial"/>
          <w:color w:val="92D050"/>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living environment domain looks at both the indoor living environment and the outdoor living environment. The indoor living environment is based on the proportion of houses without central heating and the proportion of houses that are in poor condition. The outdoor living environment looks at air quality and road traffic accidents that cause injury to pedestrians and cyclists.</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Croydon had an average score of 24.064 for the living environment domain, which means the authority was ranked 101</w:t>
      </w:r>
      <w:r w:rsidRPr="006A31AE">
        <w:rPr>
          <w:rFonts w:ascii="Arial" w:eastAsia="Calibri" w:hAnsi="Arial" w:cs="Arial"/>
          <w:sz w:val="24"/>
          <w:szCs w:val="24"/>
          <w:vertAlign w:val="superscript"/>
          <w:lang w:eastAsia="en-GB"/>
        </w:rPr>
        <w:t>st</w:t>
      </w:r>
      <w:r w:rsidRPr="006A31AE">
        <w:rPr>
          <w:rFonts w:ascii="Arial" w:eastAsia="Calibri" w:hAnsi="Arial" w:cs="Arial"/>
          <w:sz w:val="24"/>
          <w:szCs w:val="24"/>
          <w:lang w:eastAsia="en-GB"/>
        </w:rPr>
        <w:t xml:space="preserve"> most deprived out of the 326 districts. Just 5% of the LSOAs in Croydon were in the top 10% most deprived areas nationally for this domain. As Figure 9 shows these are predominantly located in the centre of the borough. These areas have high scores both for the indoor and outdoor living environment measures.</w:t>
      </w: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Figure 9 – Living environment deciles</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09F5A1D0" wp14:editId="2F4D5BAA">
            <wp:extent cx="4170557" cy="4286250"/>
            <wp:effectExtent l="0" t="0" r="1905" b="0"/>
            <wp:docPr id="205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177337" cy="4293218"/>
                    </a:xfrm>
                    <a:prstGeom prst="rect">
                      <a:avLst/>
                    </a:prstGeom>
                    <a:noFill/>
                  </pic:spPr>
                </pic:pic>
              </a:graphicData>
            </a:graphic>
          </wp:inline>
        </w:drawing>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Source: DCLG and Ordnance Survey</w:t>
      </w: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32"/>
          <w:szCs w:val="32"/>
          <w:lang w:eastAsia="en-GB"/>
        </w:rPr>
      </w:pPr>
      <w:bookmarkStart w:id="7" w:name="_Income_Deprivation_Affecting"/>
      <w:bookmarkEnd w:id="7"/>
    </w:p>
    <w:p w:rsidR="006A31AE" w:rsidRPr="006A31AE" w:rsidRDefault="006A31AE" w:rsidP="006A31AE">
      <w:pPr>
        <w:spacing w:after="0" w:line="240" w:lineRule="auto"/>
        <w:outlineLvl w:val="0"/>
        <w:rPr>
          <w:rFonts w:ascii="Arial" w:eastAsia="Times New Roman" w:hAnsi="Arial" w:cs="Arial"/>
          <w:b/>
          <w:bCs/>
          <w:color w:val="701471"/>
          <w:sz w:val="32"/>
          <w:szCs w:val="32"/>
          <w:lang w:eastAsia="en-GB"/>
        </w:rPr>
      </w:pPr>
      <w:r w:rsidRPr="006A31AE">
        <w:rPr>
          <w:rFonts w:ascii="Arial" w:eastAsia="Times New Roman" w:hAnsi="Arial" w:cs="Arial"/>
          <w:b/>
          <w:bCs/>
          <w:color w:val="701471"/>
          <w:sz w:val="32"/>
          <w:szCs w:val="32"/>
          <w:lang w:eastAsia="en-GB"/>
        </w:rPr>
        <w:t>Income Deprivation Affecting Children Index (IDACI) 2015</w:t>
      </w:r>
    </w:p>
    <w:p w:rsidR="006A31AE" w:rsidRPr="006A31AE" w:rsidRDefault="006A31AE" w:rsidP="006A31AE">
      <w:pPr>
        <w:spacing w:after="0" w:line="240" w:lineRule="auto"/>
        <w:outlineLvl w:val="0"/>
        <w:rPr>
          <w:rFonts w:ascii="Arial" w:eastAsia="Times New Roman" w:hAnsi="Arial" w:cs="Arial"/>
          <w:b/>
          <w:bCs/>
          <w:color w:val="92D050"/>
          <w:sz w:val="28"/>
          <w:szCs w:val="24"/>
          <w:lang w:eastAsia="en-GB"/>
        </w:rPr>
      </w:pP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The Income Deprivation Affecting Children Index is a supplementary index that looks at the proportion of children in an area that are living in families affected by income deprivation.</w:t>
      </w: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At the time the Index was produced, Croydon had 23.2% of its children living in families affected by income deprivation. Croydon was ranked the 70</w:t>
      </w:r>
      <w:r w:rsidRPr="006A31AE">
        <w:rPr>
          <w:rFonts w:ascii="Arial" w:eastAsia="Calibri" w:hAnsi="Arial" w:cs="Arial"/>
          <w:sz w:val="24"/>
          <w:szCs w:val="24"/>
          <w:vertAlign w:val="superscript"/>
        </w:rPr>
        <w:t>th</w:t>
      </w:r>
      <w:r w:rsidRPr="006A31AE">
        <w:rPr>
          <w:rFonts w:ascii="Arial" w:eastAsia="Calibri" w:hAnsi="Arial" w:cs="Arial"/>
          <w:sz w:val="24"/>
          <w:szCs w:val="24"/>
        </w:rPr>
        <w:t xml:space="preserve"> most deprived authority out of the 326 district authorities in England. 4% of the LSOAs in Croydon were in the top 10% most deprived LSOAs in the country, as can be seen in Figure 10.</w:t>
      </w: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These LSOAs are spread out across Croydon</w:t>
      </w:r>
      <w:r w:rsidR="00FD063C">
        <w:rPr>
          <w:rFonts w:ascii="Arial" w:eastAsia="Calibri" w:hAnsi="Arial" w:cs="Arial"/>
          <w:sz w:val="24"/>
          <w:szCs w:val="24"/>
        </w:rPr>
        <w:t>. H</w:t>
      </w:r>
      <w:r w:rsidRPr="006A31AE">
        <w:rPr>
          <w:rFonts w:ascii="Arial" w:eastAsia="Calibri" w:hAnsi="Arial" w:cs="Arial"/>
          <w:sz w:val="24"/>
          <w:szCs w:val="24"/>
        </w:rPr>
        <w:t xml:space="preserve">owever it is noticeable that overall the </w:t>
      </w:r>
      <w:r w:rsidR="00721450">
        <w:rPr>
          <w:rFonts w:ascii="Arial" w:eastAsia="Calibri" w:hAnsi="Arial" w:cs="Arial"/>
          <w:sz w:val="24"/>
          <w:szCs w:val="24"/>
        </w:rPr>
        <w:t>n</w:t>
      </w:r>
      <w:r w:rsidR="00791BD9">
        <w:rPr>
          <w:rFonts w:ascii="Arial" w:eastAsia="Calibri" w:hAnsi="Arial" w:cs="Arial"/>
          <w:sz w:val="24"/>
          <w:szCs w:val="24"/>
        </w:rPr>
        <w:t>orth and e</w:t>
      </w:r>
      <w:r w:rsidRPr="006A31AE">
        <w:rPr>
          <w:rFonts w:ascii="Arial" w:eastAsia="Calibri" w:hAnsi="Arial" w:cs="Arial"/>
          <w:sz w:val="24"/>
          <w:szCs w:val="24"/>
        </w:rPr>
        <w:t xml:space="preserve">ast of the borough are relatively more deprived than the </w:t>
      </w:r>
      <w:r w:rsidR="00791BD9">
        <w:rPr>
          <w:rFonts w:ascii="Arial" w:eastAsia="Calibri" w:hAnsi="Arial" w:cs="Arial"/>
          <w:sz w:val="24"/>
          <w:szCs w:val="24"/>
        </w:rPr>
        <w:t>south w</w:t>
      </w:r>
      <w:r w:rsidRPr="006A31AE">
        <w:rPr>
          <w:rFonts w:ascii="Arial" w:eastAsia="Calibri" w:hAnsi="Arial" w:cs="Arial"/>
          <w:sz w:val="24"/>
          <w:szCs w:val="24"/>
        </w:rPr>
        <w:t>est of the borough.</w:t>
      </w:r>
      <w:r w:rsidR="00C412C5">
        <w:rPr>
          <w:rFonts w:ascii="Arial" w:eastAsia="Calibri" w:hAnsi="Arial" w:cs="Arial"/>
          <w:sz w:val="24"/>
          <w:szCs w:val="24"/>
        </w:rPr>
        <w:t xml:space="preserve"> There is a southern</w:t>
      </w:r>
      <w:r w:rsidR="00FD063C">
        <w:rPr>
          <w:rFonts w:ascii="Arial" w:eastAsia="Calibri" w:hAnsi="Arial" w:cs="Arial"/>
          <w:sz w:val="24"/>
          <w:szCs w:val="24"/>
        </w:rPr>
        <w:t xml:space="preserve">most area in </w:t>
      </w:r>
      <w:r w:rsidR="00C412C5">
        <w:rPr>
          <w:rFonts w:ascii="Arial" w:eastAsia="Calibri" w:hAnsi="Arial" w:cs="Arial"/>
          <w:sz w:val="24"/>
          <w:szCs w:val="24"/>
        </w:rPr>
        <w:t xml:space="preserve">the borough - </w:t>
      </w:r>
      <w:r w:rsidR="00FD063C">
        <w:rPr>
          <w:rFonts w:ascii="Arial" w:eastAsia="Calibri" w:hAnsi="Arial" w:cs="Arial"/>
          <w:sz w:val="24"/>
          <w:szCs w:val="24"/>
        </w:rPr>
        <w:t>the new Old Coulsdon ward, (formerly Coulsdon East)</w:t>
      </w:r>
      <w:r w:rsidR="00C412C5">
        <w:rPr>
          <w:rFonts w:ascii="Arial" w:eastAsia="Calibri" w:hAnsi="Arial" w:cs="Arial"/>
          <w:sz w:val="24"/>
          <w:szCs w:val="24"/>
        </w:rPr>
        <w:t xml:space="preserve"> -</w:t>
      </w:r>
      <w:r w:rsidR="00FD063C">
        <w:rPr>
          <w:rFonts w:ascii="Arial" w:eastAsia="Calibri" w:hAnsi="Arial" w:cs="Arial"/>
          <w:sz w:val="24"/>
          <w:szCs w:val="24"/>
        </w:rPr>
        <w:t>which scores high on income deprivation</w:t>
      </w:r>
      <w:r w:rsidR="00C412C5">
        <w:rPr>
          <w:rFonts w:ascii="Arial" w:eastAsia="Calibri" w:hAnsi="Arial" w:cs="Arial"/>
          <w:sz w:val="24"/>
          <w:szCs w:val="24"/>
        </w:rPr>
        <w:t xml:space="preserve"> affecting children.</w:t>
      </w:r>
    </w:p>
    <w:p w:rsidR="006A31AE" w:rsidRPr="006A31AE" w:rsidRDefault="006A31AE" w:rsidP="006A31AE">
      <w:pPr>
        <w:spacing w:after="200" w:line="276" w:lineRule="auto"/>
        <w:rPr>
          <w:rFonts w:ascii="Arial" w:eastAsia="Calibri" w:hAnsi="Arial" w:cs="Arial"/>
          <w:sz w:val="24"/>
          <w:szCs w:val="24"/>
        </w:rPr>
      </w:pPr>
    </w:p>
    <w:p w:rsidR="006A31AE" w:rsidRPr="006A31AE" w:rsidRDefault="006A31AE" w:rsidP="006A31AE">
      <w:pPr>
        <w:spacing w:after="200" w:line="276" w:lineRule="auto"/>
        <w:rPr>
          <w:rFonts w:ascii="Arial" w:eastAsia="Calibri" w:hAnsi="Arial" w:cs="Arial"/>
          <w:sz w:val="24"/>
          <w:szCs w:val="24"/>
        </w:rPr>
      </w:pPr>
    </w:p>
    <w:p w:rsidR="006A31AE" w:rsidRPr="006A31AE" w:rsidRDefault="006A31AE" w:rsidP="006A31AE">
      <w:pPr>
        <w:spacing w:after="200" w:line="276" w:lineRule="auto"/>
        <w:rPr>
          <w:rFonts w:ascii="Arial" w:eastAsia="Calibri" w:hAnsi="Arial" w:cs="Arial"/>
          <w:sz w:val="24"/>
          <w:szCs w:val="24"/>
        </w:rPr>
      </w:pP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Figure 10 – IDACI 2015 deciles</w:t>
      </w: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noProof/>
          <w:sz w:val="24"/>
          <w:szCs w:val="24"/>
          <w:lang w:eastAsia="en-GB"/>
        </w:rPr>
        <w:drawing>
          <wp:inline distT="0" distB="0" distL="0" distR="0" wp14:anchorId="45C25DF4" wp14:editId="4C9B2146">
            <wp:extent cx="3863789" cy="4362742"/>
            <wp:effectExtent l="0" t="0" r="3810" b="0"/>
            <wp:docPr id="205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870224" cy="4370008"/>
                    </a:xfrm>
                    <a:prstGeom prst="rect">
                      <a:avLst/>
                    </a:prstGeom>
                    <a:noFill/>
                  </pic:spPr>
                </pic:pic>
              </a:graphicData>
            </a:graphic>
          </wp:inline>
        </w:drawing>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Source: DCLG and Ordnance Survey</w:t>
      </w:r>
    </w:p>
    <w:p w:rsidR="006A31AE" w:rsidRPr="006A31AE" w:rsidRDefault="006A31AE" w:rsidP="006A31AE">
      <w:pPr>
        <w:spacing w:after="0" w:line="240" w:lineRule="auto"/>
        <w:outlineLvl w:val="0"/>
        <w:rPr>
          <w:rFonts w:ascii="Arial" w:eastAsia="Times New Roman" w:hAnsi="Arial" w:cs="Arial"/>
          <w:b/>
          <w:bCs/>
          <w:color w:val="701471"/>
          <w:sz w:val="32"/>
          <w:szCs w:val="32"/>
          <w:lang w:eastAsia="en-GB"/>
        </w:rPr>
      </w:pPr>
      <w:bookmarkStart w:id="8" w:name="_Income_Deprivation_Affecting_1"/>
      <w:bookmarkEnd w:id="8"/>
      <w:r w:rsidRPr="006A31AE">
        <w:rPr>
          <w:rFonts w:ascii="Arial" w:eastAsia="Times New Roman" w:hAnsi="Arial" w:cs="Arial"/>
          <w:b/>
          <w:bCs/>
          <w:color w:val="701471"/>
          <w:sz w:val="32"/>
          <w:szCs w:val="32"/>
          <w:lang w:eastAsia="en-GB"/>
        </w:rPr>
        <w:lastRenderedPageBreak/>
        <w:t>Income Deprivation Affecting Older People Index (IDAOPI) 2015</w:t>
      </w:r>
    </w:p>
    <w:p w:rsidR="006A31AE" w:rsidRPr="00FD063C" w:rsidRDefault="006A31AE" w:rsidP="006A31AE">
      <w:pPr>
        <w:spacing w:after="0" w:line="276" w:lineRule="auto"/>
        <w:rPr>
          <w:rFonts w:ascii="Arial" w:eastAsia="Calibri" w:hAnsi="Arial" w:cs="Arial"/>
          <w:sz w:val="24"/>
          <w:szCs w:val="24"/>
        </w:rPr>
      </w:pP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The second supplementary index is the Income Deprivation Affecting Older People Index. This is the proportion of the population aged 60 and over who are income deprived.</w:t>
      </w: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In Croydon 17% of older people were income deprived. This was the 100</w:t>
      </w:r>
      <w:r w:rsidRPr="006A31AE">
        <w:rPr>
          <w:rFonts w:ascii="Arial" w:eastAsia="Calibri" w:hAnsi="Arial" w:cs="Arial"/>
          <w:sz w:val="24"/>
          <w:szCs w:val="24"/>
          <w:vertAlign w:val="superscript"/>
        </w:rPr>
        <w:t>th</w:t>
      </w:r>
      <w:r w:rsidRPr="006A31AE">
        <w:rPr>
          <w:rFonts w:ascii="Arial" w:eastAsia="Calibri" w:hAnsi="Arial" w:cs="Arial"/>
          <w:sz w:val="24"/>
          <w:szCs w:val="24"/>
        </w:rPr>
        <w:t xml:space="preserve"> highest score out of the 326 district authorities in England, putting Croydon in the top third most deprived areas. </w:t>
      </w:r>
    </w:p>
    <w:p w:rsidR="00C412C5"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 xml:space="preserve">Figure 11 shows that nearly 8% of LSOAs in Croydon were in the top 10% most deprived areas in the country. </w:t>
      </w:r>
      <w:r w:rsidR="00721450">
        <w:rPr>
          <w:rFonts w:ascii="Arial" w:eastAsia="Calibri" w:hAnsi="Arial" w:cs="Arial"/>
          <w:sz w:val="24"/>
          <w:szCs w:val="24"/>
        </w:rPr>
        <w:t>These are predominantly in the n</w:t>
      </w:r>
      <w:r w:rsidRPr="006A31AE">
        <w:rPr>
          <w:rFonts w:ascii="Arial" w:eastAsia="Calibri" w:hAnsi="Arial" w:cs="Arial"/>
          <w:sz w:val="24"/>
          <w:szCs w:val="24"/>
        </w:rPr>
        <w:t xml:space="preserve">orth of the borough, with a few in the </w:t>
      </w:r>
      <w:r w:rsidR="00791BD9">
        <w:rPr>
          <w:rFonts w:ascii="Arial" w:eastAsia="Calibri" w:hAnsi="Arial" w:cs="Arial"/>
          <w:sz w:val="24"/>
          <w:szCs w:val="24"/>
        </w:rPr>
        <w:t>e</w:t>
      </w:r>
      <w:r w:rsidRPr="006A31AE">
        <w:rPr>
          <w:rFonts w:ascii="Arial" w:eastAsia="Calibri" w:hAnsi="Arial" w:cs="Arial"/>
          <w:sz w:val="24"/>
          <w:szCs w:val="24"/>
        </w:rPr>
        <w:t xml:space="preserve">ast. </w:t>
      </w:r>
    </w:p>
    <w:p w:rsidR="006A31AE" w:rsidRPr="006A31AE" w:rsidRDefault="00C412C5" w:rsidP="006A31AE">
      <w:pPr>
        <w:spacing w:after="200" w:line="276" w:lineRule="auto"/>
        <w:rPr>
          <w:rFonts w:ascii="Arial" w:eastAsia="Calibri" w:hAnsi="Arial" w:cs="Arial"/>
          <w:sz w:val="24"/>
          <w:szCs w:val="24"/>
        </w:rPr>
      </w:pPr>
      <w:r>
        <w:rPr>
          <w:rFonts w:ascii="Arial" w:eastAsia="Calibri" w:hAnsi="Arial" w:cs="Arial"/>
          <w:sz w:val="24"/>
          <w:szCs w:val="24"/>
        </w:rPr>
        <w:t>There were</w:t>
      </w:r>
      <w:r w:rsidR="006A31AE" w:rsidRPr="006A31AE">
        <w:rPr>
          <w:rFonts w:ascii="Arial" w:eastAsia="Calibri" w:hAnsi="Arial" w:cs="Arial"/>
          <w:sz w:val="24"/>
          <w:szCs w:val="24"/>
        </w:rPr>
        <w:t xml:space="preserve"> more LSOAs in the top 10% most deprived areas in the country in the IDAOPI compared to the IDACI</w:t>
      </w:r>
      <w:r w:rsidR="009949E0">
        <w:rPr>
          <w:rFonts w:ascii="Arial" w:eastAsia="Calibri" w:hAnsi="Arial" w:cs="Arial"/>
          <w:sz w:val="24"/>
          <w:szCs w:val="24"/>
        </w:rPr>
        <w:t>.  T</w:t>
      </w:r>
      <w:r w:rsidR="006A31AE" w:rsidRPr="006A31AE">
        <w:rPr>
          <w:rFonts w:ascii="Arial" w:eastAsia="Calibri" w:hAnsi="Arial" w:cs="Arial"/>
          <w:sz w:val="24"/>
          <w:szCs w:val="24"/>
        </w:rPr>
        <w:t xml:space="preserve">he lower overall average score for Croydon for the IDAOPI is due to the higher proportion of LSOAs in the IDAOPI that are amongst the least deprived LSOAs in the country. </w:t>
      </w:r>
      <w:r w:rsidR="009949E0">
        <w:rPr>
          <w:rFonts w:ascii="Arial" w:eastAsia="Calibri" w:hAnsi="Arial" w:cs="Arial"/>
          <w:sz w:val="24"/>
          <w:szCs w:val="24"/>
        </w:rPr>
        <w:t>This is offset by the l</w:t>
      </w:r>
      <w:r w:rsidR="006A31AE" w:rsidRPr="006A31AE">
        <w:rPr>
          <w:rFonts w:ascii="Arial" w:eastAsia="Calibri" w:hAnsi="Arial" w:cs="Arial"/>
          <w:sz w:val="24"/>
          <w:szCs w:val="24"/>
        </w:rPr>
        <w:t xml:space="preserve">arge parts of the </w:t>
      </w:r>
      <w:r w:rsidR="00791BD9">
        <w:rPr>
          <w:rFonts w:ascii="Arial" w:eastAsia="Calibri" w:hAnsi="Arial" w:cs="Arial"/>
          <w:sz w:val="24"/>
          <w:szCs w:val="24"/>
        </w:rPr>
        <w:t>s</w:t>
      </w:r>
      <w:r w:rsidR="006A31AE" w:rsidRPr="006A31AE">
        <w:rPr>
          <w:rFonts w:ascii="Arial" w:eastAsia="Calibri" w:hAnsi="Arial" w:cs="Arial"/>
          <w:sz w:val="24"/>
          <w:szCs w:val="24"/>
        </w:rPr>
        <w:t>outh of the borough</w:t>
      </w:r>
      <w:r w:rsidR="009949E0">
        <w:rPr>
          <w:rFonts w:ascii="Arial" w:eastAsia="Calibri" w:hAnsi="Arial" w:cs="Arial"/>
          <w:sz w:val="24"/>
          <w:szCs w:val="24"/>
        </w:rPr>
        <w:t xml:space="preserve"> which has LSOAs that </w:t>
      </w:r>
      <w:r w:rsidR="006A31AE" w:rsidRPr="006A31AE">
        <w:rPr>
          <w:rFonts w:ascii="Arial" w:eastAsia="Calibri" w:hAnsi="Arial" w:cs="Arial"/>
          <w:sz w:val="24"/>
          <w:szCs w:val="24"/>
        </w:rPr>
        <w:t>are in the 30% least deprived areas of the country.</w:t>
      </w:r>
    </w:p>
    <w:p w:rsidR="006A31AE" w:rsidRPr="006A31AE" w:rsidRDefault="006A31AE" w:rsidP="006A31AE">
      <w:pPr>
        <w:spacing w:after="200" w:line="276" w:lineRule="auto"/>
        <w:rPr>
          <w:rFonts w:ascii="Arial" w:eastAsia="Calibri" w:hAnsi="Arial" w:cs="Arial"/>
          <w:sz w:val="24"/>
          <w:szCs w:val="24"/>
        </w:rPr>
      </w:pPr>
    </w:p>
    <w:p w:rsidR="006A31AE" w:rsidRPr="006A31AE" w:rsidRDefault="006A31AE" w:rsidP="006A31AE">
      <w:pPr>
        <w:spacing w:after="200" w:line="276" w:lineRule="auto"/>
        <w:rPr>
          <w:rFonts w:ascii="Arial" w:eastAsia="Calibri" w:hAnsi="Arial" w:cs="Arial"/>
          <w:sz w:val="24"/>
          <w:szCs w:val="24"/>
        </w:rPr>
      </w:pPr>
    </w:p>
    <w:p w:rsidR="006A31AE" w:rsidRPr="006A31AE" w:rsidRDefault="006A31AE" w:rsidP="006A31AE">
      <w:pPr>
        <w:spacing w:after="200" w:line="276" w:lineRule="auto"/>
        <w:rPr>
          <w:rFonts w:ascii="Arial" w:eastAsia="Calibri" w:hAnsi="Arial" w:cs="Arial"/>
          <w:sz w:val="24"/>
          <w:szCs w:val="24"/>
        </w:rPr>
      </w:pP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Figure 11 – IDAOPI deciles</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765846C7" wp14:editId="33A04405">
            <wp:extent cx="3863789" cy="4310023"/>
            <wp:effectExtent l="0" t="0" r="3810" b="0"/>
            <wp:docPr id="205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868846" cy="4315664"/>
                    </a:xfrm>
                    <a:prstGeom prst="rect">
                      <a:avLst/>
                    </a:prstGeom>
                    <a:noFill/>
                  </pic:spPr>
                </pic:pic>
              </a:graphicData>
            </a:graphic>
          </wp:inline>
        </w:drawing>
      </w:r>
    </w:p>
    <w:p w:rsidR="00267CB0"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Source: DCLG and Ordnance Survey</w:t>
      </w:r>
    </w:p>
    <w:p w:rsidR="00267CB0" w:rsidRDefault="00267CB0" w:rsidP="006A31AE">
      <w:pPr>
        <w:spacing w:after="200" w:line="276" w:lineRule="auto"/>
        <w:rPr>
          <w:rFonts w:ascii="Arial" w:eastAsia="Calibri" w:hAnsi="Arial" w:cs="Arial"/>
          <w:sz w:val="24"/>
          <w:szCs w:val="24"/>
          <w:lang w:eastAsia="en-GB"/>
        </w:rPr>
        <w:sectPr w:rsidR="00267CB0" w:rsidSect="006A31AE">
          <w:headerReference w:type="default" r:id="rId101"/>
          <w:footerReference w:type="default" r:id="rId102"/>
          <w:pgSz w:w="16838" w:h="11906" w:orient="landscape"/>
          <w:pgMar w:top="1560" w:right="1440" w:bottom="993" w:left="1440" w:header="142" w:footer="708" w:gutter="0"/>
          <w:cols w:num="2" w:space="708"/>
          <w:docGrid w:linePitch="360"/>
        </w:sectPr>
      </w:pPr>
    </w:p>
    <w:p w:rsidR="006A31AE" w:rsidRPr="006A31AE" w:rsidRDefault="006A31AE" w:rsidP="008A1DDD">
      <w:pPr>
        <w:rPr>
          <w:rFonts w:ascii="Arial" w:eastAsia="Times New Roman" w:hAnsi="Arial" w:cs="Arial"/>
          <w:b/>
          <w:bCs/>
          <w:color w:val="701471"/>
          <w:sz w:val="32"/>
          <w:szCs w:val="28"/>
          <w:lang w:eastAsia="en-GB"/>
        </w:rPr>
      </w:pPr>
      <w:r w:rsidRPr="006A31AE">
        <w:rPr>
          <w:rFonts w:ascii="Arial" w:eastAsia="Times New Roman" w:hAnsi="Arial" w:cs="Arial"/>
          <w:b/>
          <w:bCs/>
          <w:noProof/>
          <w:color w:val="701471"/>
          <w:sz w:val="32"/>
          <w:szCs w:val="28"/>
          <w:lang w:eastAsia="en-GB"/>
        </w:rPr>
        <w:lastRenderedPageBreak/>
        <w:drawing>
          <wp:inline distT="0" distB="0" distL="0" distR="0" wp14:anchorId="265E33E2" wp14:editId="06F92432">
            <wp:extent cx="792480" cy="496872"/>
            <wp:effectExtent l="0" t="0" r="7620" b="0"/>
            <wp:docPr id="1045" name="Picture 13"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40" cstate="print"/>
                    <a:stretch>
                      <a:fillRect/>
                    </a:stretch>
                  </pic:blipFill>
                  <pic:spPr>
                    <a:xfrm rot="10800000" flipV="1">
                      <a:off x="0" y="0"/>
                      <a:ext cx="800477" cy="501886"/>
                    </a:xfrm>
                    <a:prstGeom prst="rect">
                      <a:avLst/>
                    </a:prstGeom>
                  </pic:spPr>
                </pic:pic>
              </a:graphicData>
            </a:graphic>
          </wp:inline>
        </w:drawing>
      </w:r>
      <w:r w:rsidRPr="006A31AE">
        <w:rPr>
          <w:rFonts w:ascii="Arial" w:eastAsia="Times New Roman" w:hAnsi="Arial" w:cs="Arial"/>
          <w:b/>
          <w:bCs/>
          <w:color w:val="701471"/>
          <w:sz w:val="32"/>
          <w:szCs w:val="28"/>
          <w:lang w:eastAsia="en-GB"/>
        </w:rPr>
        <w:t xml:space="preserve"> </w:t>
      </w:r>
      <w:r w:rsidRPr="006A31AE">
        <w:rPr>
          <w:rFonts w:ascii="Arial" w:eastAsia="Times New Roman" w:hAnsi="Arial" w:cs="Arial"/>
          <w:b/>
          <w:bCs/>
          <w:color w:val="701471"/>
          <w:sz w:val="40"/>
          <w:szCs w:val="28"/>
          <w:lang w:eastAsia="en-GB"/>
        </w:rPr>
        <w:t>Education and skills</w:t>
      </w:r>
    </w:p>
    <w:p w:rsidR="006A31AE" w:rsidRPr="006A31AE" w:rsidRDefault="006A31AE" w:rsidP="006A31AE">
      <w:pPr>
        <w:spacing w:after="0" w:line="240" w:lineRule="auto"/>
        <w:rPr>
          <w:rFonts w:ascii="Arial" w:eastAsia="Times New Roman" w:hAnsi="Arial" w:cs="Arial"/>
          <w:bCs/>
          <w:color w:val="701471"/>
          <w:sz w:val="28"/>
          <w:szCs w:val="28"/>
          <w:lang w:eastAsia="en-GB"/>
        </w:rPr>
      </w:pPr>
      <w:r w:rsidRPr="006A31AE">
        <w:rPr>
          <w:rFonts w:ascii="Arial" w:eastAsia="Times New Roman" w:hAnsi="Arial" w:cs="Arial"/>
          <w:bCs/>
          <w:noProof/>
          <w:color w:val="701471"/>
          <w:sz w:val="28"/>
          <w:szCs w:val="28"/>
          <w:lang w:eastAsia="en-GB"/>
        </w:rPr>
        <mc:AlternateContent>
          <mc:Choice Requires="wps">
            <w:drawing>
              <wp:anchor distT="0" distB="0" distL="114300" distR="114300" simplePos="0" relativeHeight="251736064" behindDoc="0" locked="0" layoutInCell="1" allowOverlap="1" wp14:anchorId="1EEE4365" wp14:editId="359C3A21">
                <wp:simplePos x="0" y="0"/>
                <wp:positionH relativeFrom="column">
                  <wp:posOffset>-28575</wp:posOffset>
                </wp:positionH>
                <wp:positionV relativeFrom="paragraph">
                  <wp:posOffset>128270</wp:posOffset>
                </wp:positionV>
                <wp:extent cx="3975735" cy="4946015"/>
                <wp:effectExtent l="0" t="0" r="24765" b="26035"/>
                <wp:wrapNone/>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735" cy="4946015"/>
                        </a:xfrm>
                        <a:prstGeom prst="rect">
                          <a:avLst/>
                        </a:prstGeom>
                        <a:solidFill>
                          <a:srgbClr val="FFFFFF"/>
                        </a:solidFill>
                        <a:ln w="9525">
                          <a:solidFill>
                            <a:srgbClr val="000000"/>
                          </a:solidFill>
                          <a:miter lim="800000"/>
                          <a:headEnd/>
                          <a:tailEnd/>
                        </a:ln>
                      </wps:spPr>
                      <wps:txbx>
                        <w:txbxContent>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Areas of progress</w:t>
                            </w:r>
                          </w:p>
                          <w:p w:rsidR="00721450" w:rsidRPr="006C1B2B" w:rsidRDefault="00721450" w:rsidP="006A31AE">
                            <w:pPr>
                              <w:spacing w:after="0" w:line="240" w:lineRule="auto"/>
                              <w:rPr>
                                <w:rFonts w:eastAsia="Times New Roman"/>
                                <w:bCs/>
                                <w:color w:val="701471"/>
                                <w:sz w:val="28"/>
                                <w:szCs w:val="28"/>
                                <w:lang w:eastAsia="en-GB"/>
                              </w:rPr>
                            </w:pPr>
                          </w:p>
                          <w:p w:rsidR="00721450" w:rsidRPr="00170F66" w:rsidRDefault="00721450" w:rsidP="006A31AE">
                            <w:pPr>
                              <w:pStyle w:val="ListParagraph"/>
                              <w:numPr>
                                <w:ilvl w:val="0"/>
                                <w:numId w:val="1"/>
                              </w:numPr>
                              <w:spacing w:after="0" w:line="240" w:lineRule="auto"/>
                              <w:rPr>
                                <w:rFonts w:eastAsia="Times New Roman"/>
                                <w:bCs/>
                                <w:lang w:eastAsia="en-GB"/>
                              </w:rPr>
                            </w:pPr>
                            <w:r w:rsidRPr="00170F66">
                              <w:rPr>
                                <w:rFonts w:eastAsia="Times New Roman"/>
                                <w:bCs/>
                                <w:lang w:eastAsia="en-GB"/>
                              </w:rPr>
                              <w:t>Levels of persistent absence in schools remain very low each year.</w:t>
                            </w:r>
                          </w:p>
                          <w:p w:rsidR="00721450" w:rsidRPr="00170F66" w:rsidRDefault="00721450" w:rsidP="006A31AE">
                            <w:pPr>
                              <w:pStyle w:val="ListParagraph"/>
                              <w:numPr>
                                <w:ilvl w:val="0"/>
                                <w:numId w:val="1"/>
                              </w:numPr>
                            </w:pPr>
                            <w:r w:rsidRPr="00170F66">
                              <w:t>Attainment at the Early Years Foundation Stage is now in line with regional averages and above national averages.</w:t>
                            </w:r>
                          </w:p>
                          <w:p w:rsidR="00721450" w:rsidRPr="00EC68F1" w:rsidRDefault="00721450" w:rsidP="006A31AE">
                            <w:pPr>
                              <w:pStyle w:val="ListParagraph"/>
                              <w:numPr>
                                <w:ilvl w:val="0"/>
                                <w:numId w:val="1"/>
                              </w:numPr>
                            </w:pPr>
                            <w:r w:rsidRPr="00EC68F1">
                              <w:t>Attainment at Key Stage 2 has been improving but is still slightly less than the regional average.</w:t>
                            </w:r>
                          </w:p>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Challenges</w:t>
                            </w:r>
                          </w:p>
                          <w:p w:rsidR="00721450" w:rsidRPr="006C1B2B" w:rsidRDefault="00721450" w:rsidP="006A31AE">
                            <w:pPr>
                              <w:spacing w:after="0" w:line="240" w:lineRule="auto"/>
                              <w:rPr>
                                <w:rFonts w:eastAsia="Times New Roman"/>
                                <w:bCs/>
                                <w:color w:val="701471"/>
                                <w:sz w:val="28"/>
                                <w:szCs w:val="28"/>
                                <w:lang w:eastAsia="en-GB"/>
                              </w:rPr>
                            </w:pPr>
                          </w:p>
                          <w:p w:rsidR="00721450" w:rsidRPr="00C70B5D" w:rsidRDefault="00721450" w:rsidP="006A31AE">
                            <w:pPr>
                              <w:pStyle w:val="ListParagraph"/>
                              <w:numPr>
                                <w:ilvl w:val="0"/>
                                <w:numId w:val="2"/>
                              </w:numPr>
                            </w:pPr>
                            <w:r w:rsidRPr="00C70B5D">
                              <w:t>Take up of funded hours in Early Years settings is still below regional and national averages.</w:t>
                            </w:r>
                          </w:p>
                          <w:p w:rsidR="00721450" w:rsidRPr="00EC7CA1" w:rsidRDefault="00721450" w:rsidP="006A31AE">
                            <w:pPr>
                              <w:pStyle w:val="ListParagraph"/>
                              <w:numPr>
                                <w:ilvl w:val="0"/>
                                <w:numId w:val="2"/>
                              </w:numPr>
                            </w:pPr>
                            <w:r w:rsidRPr="00EC7CA1">
                              <w:t>There remains a significant attainment gap for pupils from Black ethnic backgrounds.</w:t>
                            </w:r>
                          </w:p>
                          <w:p w:rsidR="00721450" w:rsidRPr="009774F1" w:rsidRDefault="00721450" w:rsidP="006A31AE">
                            <w:pPr>
                              <w:pStyle w:val="ListParagraph"/>
                              <w:numPr>
                                <w:ilvl w:val="0"/>
                                <w:numId w:val="2"/>
                              </w:numPr>
                              <w:spacing w:after="0" w:line="240" w:lineRule="auto"/>
                              <w:rPr>
                                <w:rFonts w:eastAsia="Times New Roman"/>
                                <w:bCs/>
                                <w:lang w:eastAsia="en-GB"/>
                              </w:rPr>
                            </w:pPr>
                            <w:r w:rsidRPr="00EC7CA1">
                              <w:t>Few Croydon pupils achieve gra</w:t>
                            </w:r>
                            <w:r>
                              <w:t>des AAB or above at Key Stage 5 and latest results show that performance has worsened.</w:t>
                            </w:r>
                          </w:p>
                          <w:p w:rsidR="00721450" w:rsidRPr="009774F1" w:rsidRDefault="00721450" w:rsidP="006A31AE">
                            <w:pPr>
                              <w:pStyle w:val="ListParagraph"/>
                              <w:numPr>
                                <w:ilvl w:val="0"/>
                                <w:numId w:val="2"/>
                              </w:numPr>
                              <w:spacing w:after="0" w:line="240" w:lineRule="auto"/>
                              <w:rPr>
                                <w:rFonts w:eastAsia="Times New Roman"/>
                                <w:bCs/>
                                <w:lang w:eastAsia="en-GB"/>
                              </w:rPr>
                            </w:pPr>
                            <w:r>
                              <w:t>The</w:t>
                            </w:r>
                            <w:r w:rsidRPr="009774F1">
                              <w:rPr>
                                <w:rFonts w:eastAsia="Times New Roman"/>
                                <w:bCs/>
                                <w:lang w:eastAsia="en-GB"/>
                              </w:rPr>
                              <w:t xml:space="preserve"> number of fixed term and permanent exclusions is decreasing.</w:t>
                            </w:r>
                          </w:p>
                          <w:p w:rsidR="00721450" w:rsidRPr="00EC7CA1" w:rsidRDefault="00721450" w:rsidP="006A31AE">
                            <w:pPr>
                              <w:pStyle w:val="ListParagraph"/>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EE4365" id="_x0000_s1083" type="#_x0000_t202" style="position:absolute;margin-left:-2.25pt;margin-top:10.1pt;width:313.05pt;height:389.4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">
                <v:textbox>
                  <w:txbxContent>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Areas of progress</w:t>
                      </w:r>
                    </w:p>
                    <w:p w:rsidR="00721450" w:rsidRPr="006C1B2B" w:rsidRDefault="00721450" w:rsidP="006A31AE">
                      <w:pPr>
                        <w:spacing w:after="0" w:line="240" w:lineRule="auto"/>
                        <w:rPr>
                          <w:rFonts w:eastAsia="Times New Roman"/>
                          <w:bCs/>
                          <w:color w:val="701471"/>
                          <w:sz w:val="28"/>
                          <w:szCs w:val="28"/>
                          <w:lang w:eastAsia="en-GB"/>
                        </w:rPr>
                      </w:pPr>
                    </w:p>
                    <w:p w:rsidR="00721450" w:rsidRPr="00170F66" w:rsidRDefault="00721450" w:rsidP="006A31AE">
                      <w:pPr>
                        <w:pStyle w:val="ListParagraph"/>
                        <w:numPr>
                          <w:ilvl w:val="0"/>
                          <w:numId w:val="1"/>
                        </w:numPr>
                        <w:spacing w:after="0" w:line="240" w:lineRule="auto"/>
                        <w:rPr>
                          <w:rFonts w:eastAsia="Times New Roman"/>
                          <w:bCs/>
                          <w:lang w:eastAsia="en-GB"/>
                        </w:rPr>
                      </w:pPr>
                      <w:r w:rsidRPr="00170F66">
                        <w:rPr>
                          <w:rFonts w:eastAsia="Times New Roman"/>
                          <w:bCs/>
                          <w:lang w:eastAsia="en-GB"/>
                        </w:rPr>
                        <w:t>Levels of persistent absence in schools remain very low each year.</w:t>
                      </w:r>
                    </w:p>
                    <w:p w:rsidR="00721450" w:rsidRPr="00170F66" w:rsidRDefault="00721450" w:rsidP="006A31AE">
                      <w:pPr>
                        <w:pStyle w:val="ListParagraph"/>
                        <w:numPr>
                          <w:ilvl w:val="0"/>
                          <w:numId w:val="1"/>
                        </w:numPr>
                      </w:pPr>
                      <w:r w:rsidRPr="00170F66">
                        <w:t>Attainment at the Early Years Foundation Stage is now in line with regional averages and above national averages.</w:t>
                      </w:r>
                    </w:p>
                    <w:p w:rsidR="00721450" w:rsidRPr="00EC68F1" w:rsidRDefault="00721450" w:rsidP="006A31AE">
                      <w:pPr>
                        <w:pStyle w:val="ListParagraph"/>
                        <w:numPr>
                          <w:ilvl w:val="0"/>
                          <w:numId w:val="1"/>
                        </w:numPr>
                      </w:pPr>
                      <w:r w:rsidRPr="00EC68F1">
                        <w:t>Attainment at Key Stage 2 has been improving but is still slightly less than the regional average.</w:t>
                      </w:r>
                    </w:p>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Challenges</w:t>
                      </w:r>
                    </w:p>
                    <w:p w:rsidR="00721450" w:rsidRPr="006C1B2B" w:rsidRDefault="00721450" w:rsidP="006A31AE">
                      <w:pPr>
                        <w:spacing w:after="0" w:line="240" w:lineRule="auto"/>
                        <w:rPr>
                          <w:rFonts w:eastAsia="Times New Roman"/>
                          <w:bCs/>
                          <w:color w:val="701471"/>
                          <w:sz w:val="28"/>
                          <w:szCs w:val="28"/>
                          <w:lang w:eastAsia="en-GB"/>
                        </w:rPr>
                      </w:pPr>
                    </w:p>
                    <w:p w:rsidR="00721450" w:rsidRPr="00C70B5D" w:rsidRDefault="00721450" w:rsidP="006A31AE">
                      <w:pPr>
                        <w:pStyle w:val="ListParagraph"/>
                        <w:numPr>
                          <w:ilvl w:val="0"/>
                          <w:numId w:val="2"/>
                        </w:numPr>
                      </w:pPr>
                      <w:r w:rsidRPr="00C70B5D">
                        <w:t>Take up of funded hours in Early Years settings is still below regional and national averages.</w:t>
                      </w:r>
                    </w:p>
                    <w:p w:rsidR="00721450" w:rsidRPr="00EC7CA1" w:rsidRDefault="00721450" w:rsidP="006A31AE">
                      <w:pPr>
                        <w:pStyle w:val="ListParagraph"/>
                        <w:numPr>
                          <w:ilvl w:val="0"/>
                          <w:numId w:val="2"/>
                        </w:numPr>
                      </w:pPr>
                      <w:r w:rsidRPr="00EC7CA1">
                        <w:t>There remains a significant attainment gap for pupils from Black ethnic backgrounds.</w:t>
                      </w:r>
                    </w:p>
                    <w:p w:rsidR="00721450" w:rsidRPr="009774F1" w:rsidRDefault="00721450" w:rsidP="006A31AE">
                      <w:pPr>
                        <w:pStyle w:val="ListParagraph"/>
                        <w:numPr>
                          <w:ilvl w:val="0"/>
                          <w:numId w:val="2"/>
                        </w:numPr>
                        <w:spacing w:after="0" w:line="240" w:lineRule="auto"/>
                        <w:rPr>
                          <w:rFonts w:eastAsia="Times New Roman"/>
                          <w:bCs/>
                          <w:lang w:eastAsia="en-GB"/>
                        </w:rPr>
                      </w:pPr>
                      <w:r w:rsidRPr="00EC7CA1">
                        <w:t>Few Croydon pupils achieve gra</w:t>
                      </w:r>
                      <w:r>
                        <w:t>des AAB or above at Key Stage 5 and latest results show that performance has worsened.</w:t>
                      </w:r>
                    </w:p>
                    <w:p w:rsidR="00721450" w:rsidRPr="009774F1" w:rsidRDefault="00721450" w:rsidP="006A31AE">
                      <w:pPr>
                        <w:pStyle w:val="ListParagraph"/>
                        <w:numPr>
                          <w:ilvl w:val="0"/>
                          <w:numId w:val="2"/>
                        </w:numPr>
                        <w:spacing w:after="0" w:line="240" w:lineRule="auto"/>
                        <w:rPr>
                          <w:rFonts w:eastAsia="Times New Roman"/>
                          <w:bCs/>
                          <w:lang w:eastAsia="en-GB"/>
                        </w:rPr>
                      </w:pPr>
                      <w:r>
                        <w:t>The</w:t>
                      </w:r>
                      <w:r w:rsidRPr="009774F1">
                        <w:rPr>
                          <w:rFonts w:eastAsia="Times New Roman"/>
                          <w:bCs/>
                          <w:lang w:eastAsia="en-GB"/>
                        </w:rPr>
                        <w:t xml:space="preserve"> number of fixed term and permanent exclusions is decreasing.</w:t>
                      </w:r>
                    </w:p>
                    <w:p w:rsidR="00721450" w:rsidRPr="00EC7CA1" w:rsidRDefault="00721450" w:rsidP="006A31AE">
                      <w:pPr>
                        <w:pStyle w:val="ListParagraph"/>
                      </w:pPr>
                    </w:p>
                  </w:txbxContent>
                </v:textbox>
              </v:shape>
            </w:pict>
          </mc:Fallback>
        </mc:AlternateContent>
      </w:r>
    </w:p>
    <w:p w:rsidR="006A31AE" w:rsidRPr="006A31AE" w:rsidRDefault="006A31AE" w:rsidP="006A31AE">
      <w:pPr>
        <w:spacing w:after="0" w:line="240" w:lineRule="auto"/>
        <w:rPr>
          <w:rFonts w:ascii="Arial" w:eastAsia="Times New Roman" w:hAnsi="Arial" w:cs="Arial"/>
          <w:bCs/>
          <w:color w:val="701471"/>
          <w:sz w:val="28"/>
          <w:szCs w:val="28"/>
          <w:lang w:eastAsia="en-GB"/>
        </w:rPr>
      </w:pPr>
    </w:p>
    <w:p w:rsidR="006A31AE" w:rsidRPr="006A31AE" w:rsidRDefault="006A31AE" w:rsidP="006A31AE">
      <w:pPr>
        <w:spacing w:after="0" w:line="240" w:lineRule="auto"/>
        <w:rPr>
          <w:rFonts w:ascii="Arial" w:eastAsia="Times New Roman" w:hAnsi="Arial" w:cs="Arial"/>
          <w:bCs/>
          <w:color w:val="006600"/>
          <w:sz w:val="28"/>
          <w:szCs w:val="28"/>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Overview</w:t>
      </w:r>
    </w:p>
    <w:p w:rsidR="006A31AE" w:rsidRP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Education and skills</w:t>
      </w:r>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Early_Years" w:history="1">
        <w:r w:rsidR="006A31AE" w:rsidRPr="006A31AE">
          <w:rPr>
            <w:rFonts w:ascii="Arial" w:eastAsia="Times New Roman" w:hAnsi="Arial" w:cs="Arial"/>
            <w:bCs/>
            <w:color w:val="0000FF"/>
            <w:sz w:val="24"/>
            <w:szCs w:val="24"/>
            <w:u w:val="single"/>
            <w:lang w:eastAsia="en-GB"/>
          </w:rPr>
          <w:t>Early</w:t>
        </w:r>
        <w:r w:rsidR="006A31AE" w:rsidRPr="006A31AE">
          <w:rPr>
            <w:rFonts w:ascii="Arial" w:eastAsia="Calibri" w:hAnsi="Arial" w:cs="Arial"/>
            <w:color w:val="0000FF"/>
            <w:sz w:val="24"/>
            <w:szCs w:val="24"/>
            <w:u w:val="single"/>
          </w:rPr>
          <w:t xml:space="preserve"> Years</w:t>
        </w:r>
      </w:hyperlink>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School_attainment" w:history="1">
        <w:r w:rsidR="006A31AE" w:rsidRPr="006A31AE">
          <w:rPr>
            <w:rFonts w:ascii="Arial" w:eastAsia="Calibri" w:hAnsi="Arial" w:cs="Arial"/>
            <w:color w:val="0000FF"/>
            <w:sz w:val="24"/>
            <w:szCs w:val="24"/>
            <w:u w:val="single"/>
          </w:rPr>
          <w:t>School attainment</w:t>
        </w:r>
      </w:hyperlink>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Further_education" w:history="1">
        <w:r w:rsidR="006A31AE" w:rsidRPr="006A31AE">
          <w:rPr>
            <w:rFonts w:ascii="Arial" w:eastAsia="Calibri" w:hAnsi="Arial" w:cs="Arial"/>
            <w:color w:val="0000FF"/>
            <w:sz w:val="24"/>
            <w:szCs w:val="24"/>
            <w:u w:val="single"/>
          </w:rPr>
          <w:t>Further education</w:t>
        </w:r>
      </w:hyperlink>
    </w:p>
    <w:p w:rsidR="006A31AE" w:rsidRDefault="006A31AE" w:rsidP="006A31AE">
      <w:pPr>
        <w:spacing w:after="0" w:line="240" w:lineRule="auto"/>
        <w:outlineLvl w:val="0"/>
        <w:rPr>
          <w:rFonts w:ascii="Arial" w:eastAsia="Times New Roman" w:hAnsi="Arial" w:cs="Arial"/>
          <w:bCs/>
          <w:sz w:val="24"/>
          <w:szCs w:val="24"/>
          <w:lang w:eastAsia="en-GB"/>
        </w:rPr>
      </w:pPr>
      <w:bookmarkStart w:id="9" w:name="_Early_Years"/>
      <w:bookmarkEnd w:id="9"/>
    </w:p>
    <w:p w:rsidR="00267CB0" w:rsidRDefault="00267CB0" w:rsidP="006A31AE">
      <w:pPr>
        <w:spacing w:after="0" w:line="240" w:lineRule="auto"/>
        <w:outlineLvl w:val="0"/>
        <w:rPr>
          <w:rFonts w:ascii="Arial" w:eastAsia="Times New Roman" w:hAnsi="Arial" w:cs="Arial"/>
          <w:bCs/>
          <w:sz w:val="24"/>
          <w:szCs w:val="24"/>
          <w:lang w:eastAsia="en-GB"/>
        </w:rPr>
      </w:pPr>
    </w:p>
    <w:p w:rsidR="008F22A2" w:rsidRDefault="008F22A2" w:rsidP="006A31AE">
      <w:pPr>
        <w:spacing w:after="0" w:line="240" w:lineRule="auto"/>
        <w:outlineLvl w:val="0"/>
        <w:rPr>
          <w:rFonts w:ascii="Arial" w:eastAsia="Times New Roman" w:hAnsi="Arial" w:cs="Arial"/>
          <w:bCs/>
          <w:sz w:val="24"/>
          <w:szCs w:val="24"/>
          <w:lang w:eastAsia="en-GB"/>
        </w:rPr>
      </w:pPr>
    </w:p>
    <w:p w:rsidR="008F22A2" w:rsidRDefault="008F22A2" w:rsidP="006A31AE">
      <w:pPr>
        <w:spacing w:after="0" w:line="240" w:lineRule="auto"/>
        <w:outlineLvl w:val="0"/>
        <w:rPr>
          <w:rFonts w:ascii="Arial" w:eastAsia="Times New Roman" w:hAnsi="Arial" w:cs="Arial"/>
          <w:bCs/>
          <w:sz w:val="24"/>
          <w:szCs w:val="24"/>
          <w:lang w:eastAsia="en-GB"/>
        </w:rPr>
      </w:pPr>
    </w:p>
    <w:p w:rsidR="00095A6E" w:rsidRDefault="00095A6E" w:rsidP="006A31AE">
      <w:pPr>
        <w:spacing w:after="0" w:line="240" w:lineRule="auto"/>
        <w:outlineLvl w:val="0"/>
        <w:rPr>
          <w:rFonts w:ascii="Arial" w:eastAsia="Times New Roman" w:hAnsi="Arial" w:cs="Arial"/>
          <w:bCs/>
          <w:sz w:val="24"/>
          <w:szCs w:val="24"/>
          <w:lang w:eastAsia="en-GB"/>
        </w:rPr>
      </w:pPr>
    </w:p>
    <w:p w:rsidR="00267CB0" w:rsidRPr="006A31AE" w:rsidRDefault="00267CB0"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Early Years</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Take up of funded hours</w:t>
      </w: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percentage of 2 year old children benefitting from funded early education has been increasing, year on year.  The percentage has increased from 38% in 2015 to 82% in 2018 and for Croydon this take-up rate is higher than outer London and national figures.</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In Croydon, the take-up of some free education amongst 3 and 4 year olds is relatively high but it still remains below the London and England averages as Figure 1 shows.</w:t>
      </w:r>
    </w:p>
    <w:p w:rsidR="006A31AE" w:rsidRPr="00CF633E" w:rsidRDefault="006A31AE" w:rsidP="006A31AE">
      <w:pPr>
        <w:spacing w:after="0" w:line="276" w:lineRule="auto"/>
        <w:rPr>
          <w:rFonts w:ascii="Arial" w:eastAsia="Calibri" w:hAnsi="Arial" w:cs="Arial"/>
          <w:sz w:val="24"/>
          <w:szCs w:val="24"/>
          <w:u w:val="single"/>
          <w:lang w:eastAsia="en-GB"/>
        </w:rPr>
      </w:pPr>
      <w:r w:rsidRPr="00CF633E">
        <w:rPr>
          <w:rFonts w:ascii="Arial" w:eastAsia="Calibri" w:hAnsi="Arial" w:cs="Arial"/>
          <w:sz w:val="24"/>
          <w:szCs w:val="24"/>
          <w:u w:val="single"/>
          <w:lang w:eastAsia="en-GB"/>
        </w:rPr>
        <w:lastRenderedPageBreak/>
        <w:t>Figure 1 – Percentage of 3 and 4 year old</w:t>
      </w:r>
      <w:r w:rsidR="00CF633E">
        <w:rPr>
          <w:rFonts w:ascii="Arial" w:eastAsia="Calibri" w:hAnsi="Arial" w:cs="Arial"/>
          <w:sz w:val="24"/>
          <w:szCs w:val="24"/>
          <w:u w:val="single"/>
          <w:lang w:eastAsia="en-GB"/>
        </w:rPr>
        <w:t>s taking up some free education</w:t>
      </w: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456EE5EB" wp14:editId="4A7751B8">
            <wp:extent cx="4206875" cy="2430780"/>
            <wp:effectExtent l="0" t="0" r="3175" b="7620"/>
            <wp:docPr id="1026" name="Chart 10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6A31AE" w:rsidRPr="00435235" w:rsidRDefault="006A31AE" w:rsidP="006A31AE">
      <w:pPr>
        <w:spacing w:after="200" w:line="276" w:lineRule="auto"/>
        <w:rPr>
          <w:rFonts w:ascii="Arial" w:eastAsia="Calibri" w:hAnsi="Arial" w:cs="Arial"/>
          <w:sz w:val="20"/>
          <w:szCs w:val="20"/>
          <w:lang w:eastAsia="en-GB"/>
        </w:rPr>
      </w:pPr>
      <w:r w:rsidRPr="00435235">
        <w:rPr>
          <w:rFonts w:ascii="Arial" w:eastAsia="Calibri" w:hAnsi="Arial" w:cs="Arial"/>
          <w:sz w:val="20"/>
          <w:szCs w:val="20"/>
          <w:lang w:eastAsia="en-GB"/>
        </w:rPr>
        <w:t>Source: DfE LAIT, data released October 2018.</w:t>
      </w: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Foundation Stage</w:t>
      </w:r>
    </w:p>
    <w:p w:rsidR="006A31AE" w:rsidRPr="006A31AE" w:rsidRDefault="006A31AE" w:rsidP="006A31AE">
      <w:pPr>
        <w:spacing w:after="0" w:line="276" w:lineRule="auto"/>
        <w:rPr>
          <w:rFonts w:ascii="Arial" w:eastAsia="Calibri" w:hAnsi="Arial" w:cs="Arial"/>
          <w:b/>
          <w:color w:val="00B050"/>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percentage of pupils achieving a good level of development in Croydon in the Early Years Foundation Stage has been steadily improving year on year. The latest results show that Croydon has performed in line with outer London and edged in front of the national average</w:t>
      </w:r>
      <w:r w:rsidR="009A3CBD">
        <w:rPr>
          <w:rFonts w:ascii="Arial" w:eastAsia="Calibri" w:hAnsi="Arial" w:cs="Arial"/>
          <w:sz w:val="24"/>
          <w:szCs w:val="24"/>
          <w:lang w:eastAsia="en-GB"/>
        </w:rPr>
        <w:t xml:space="preserve"> for 3 years running</w:t>
      </w:r>
      <w:r w:rsidRPr="006A31AE">
        <w:rPr>
          <w:rFonts w:ascii="Arial" w:eastAsia="Calibri" w:hAnsi="Arial" w:cs="Arial"/>
          <w:sz w:val="24"/>
          <w:szCs w:val="24"/>
          <w:lang w:eastAsia="en-GB"/>
        </w:rPr>
        <w:t>.</w:t>
      </w:r>
    </w:p>
    <w:p w:rsidR="006A31AE" w:rsidRPr="00CF633E" w:rsidRDefault="006A31AE" w:rsidP="006A31AE">
      <w:pPr>
        <w:spacing w:after="0" w:line="276" w:lineRule="auto"/>
        <w:rPr>
          <w:rFonts w:ascii="Arial" w:eastAsia="Calibri" w:hAnsi="Arial" w:cs="Arial"/>
          <w:sz w:val="24"/>
          <w:szCs w:val="24"/>
          <w:u w:val="single"/>
          <w:lang w:eastAsia="en-GB"/>
        </w:rPr>
      </w:pPr>
      <w:r w:rsidRPr="00CF633E">
        <w:rPr>
          <w:rFonts w:ascii="Arial" w:eastAsia="Calibri" w:hAnsi="Arial" w:cs="Arial"/>
          <w:sz w:val="24"/>
          <w:szCs w:val="24"/>
          <w:u w:val="single"/>
          <w:lang w:eastAsia="en-GB"/>
        </w:rPr>
        <w:t>Figure 2 – Percentage of pupils achieving a good level of development</w:t>
      </w:r>
    </w:p>
    <w:p w:rsidR="006A31AE" w:rsidRPr="006A31AE" w:rsidRDefault="006A31AE" w:rsidP="006A31AE">
      <w:pPr>
        <w:spacing w:after="0" w:line="276"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5E86E884" wp14:editId="789306A3">
            <wp:extent cx="4013200" cy="2560320"/>
            <wp:effectExtent l="0" t="0" r="6350" b="11430"/>
            <wp:docPr id="1029" name="Chart 10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6A31AE" w:rsidRPr="00435235" w:rsidRDefault="006A31AE" w:rsidP="006A31AE">
      <w:pPr>
        <w:spacing w:after="200" w:line="276" w:lineRule="auto"/>
        <w:rPr>
          <w:rFonts w:ascii="Arial" w:eastAsia="Calibri" w:hAnsi="Arial" w:cs="Arial"/>
          <w:sz w:val="20"/>
          <w:szCs w:val="20"/>
          <w:lang w:eastAsia="en-GB"/>
        </w:rPr>
      </w:pPr>
      <w:r w:rsidRPr="00435235">
        <w:rPr>
          <w:rFonts w:ascii="Arial" w:eastAsia="Calibri" w:hAnsi="Arial" w:cs="Arial"/>
          <w:sz w:val="20"/>
          <w:szCs w:val="20"/>
          <w:lang w:eastAsia="en-GB"/>
        </w:rPr>
        <w:t>Source : DfE LAIT, data released October 2018.</w:t>
      </w:r>
    </w:p>
    <w:p w:rsid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bookmarkStart w:id="10" w:name="_School_attainment"/>
      <w:bookmarkEnd w:id="10"/>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School attainment</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Key Stage 1</w:t>
      </w:r>
    </w:p>
    <w:p w:rsidR="006A31AE" w:rsidRPr="006A31AE" w:rsidRDefault="006A31AE" w:rsidP="006A31AE">
      <w:pPr>
        <w:spacing w:after="0" w:line="276" w:lineRule="auto"/>
        <w:rPr>
          <w:rFonts w:ascii="Arial" w:eastAsia="Calibri" w:hAnsi="Arial" w:cs="Arial"/>
          <w:b/>
          <w:color w:val="00B050"/>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The proportion of pupils in Croydon achieving the expected standard in reading (77%) in 2018 remains in line with the regional average (78%) but higher than the national average of 75%.  In Croydon, 72% of pupils achieved the expected standard in writing which was only just behind the outer </w:t>
      </w:r>
      <w:r w:rsidRPr="006A31AE">
        <w:rPr>
          <w:rFonts w:ascii="Arial" w:eastAsia="Calibri" w:hAnsi="Arial" w:cs="Arial"/>
          <w:sz w:val="24"/>
          <w:szCs w:val="24"/>
          <w:lang w:eastAsia="en-GB"/>
        </w:rPr>
        <w:lastRenderedPageBreak/>
        <w:t>London average (73%) and better than the national average (70%).  The proportion of Croydon pupils who achieved the expected standard in Maths, (78% in 2018), was similar to the averages for Outer London (79%) and slightly higher than the average for England (76%).</w:t>
      </w:r>
    </w:p>
    <w:p w:rsidR="006A31AE" w:rsidRPr="006A31AE" w:rsidRDefault="006A31AE" w:rsidP="006A31AE">
      <w:pPr>
        <w:spacing w:after="0" w:line="240" w:lineRule="auto"/>
        <w:outlineLvl w:val="1"/>
        <w:rPr>
          <w:rFonts w:ascii="Arial" w:eastAsia="Times New Roman" w:hAnsi="Arial" w:cs="Arial"/>
          <w:bCs/>
          <w:color w:val="00660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Key Stage 2</w:t>
      </w: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r w:rsidRPr="006A31AE">
        <w:rPr>
          <w:rFonts w:ascii="Arial" w:eastAsia="Calibri" w:hAnsi="Arial" w:cs="Arial"/>
          <w:sz w:val="24"/>
          <w:szCs w:val="24"/>
          <w:lang w:eastAsia="en-GB"/>
        </w:rPr>
        <w:t>In Croydon pupil attainment at this level has continued to improve over the last 3 years with performance better than the national average but slightly below the regional average as shown in Figure 3.</w:t>
      </w:r>
    </w:p>
    <w:p w:rsidR="006A31AE" w:rsidRPr="006A31AE" w:rsidRDefault="006A31AE" w:rsidP="006A31AE">
      <w:pPr>
        <w:spacing w:after="0" w:line="276" w:lineRule="auto"/>
        <w:rPr>
          <w:rFonts w:ascii="Arial" w:eastAsia="Calibri" w:hAnsi="Arial" w:cs="Arial"/>
          <w:sz w:val="24"/>
          <w:szCs w:val="24"/>
          <w:lang w:eastAsia="en-GB"/>
        </w:rPr>
      </w:pPr>
    </w:p>
    <w:p w:rsidR="006A31AE" w:rsidRPr="00CF633E" w:rsidRDefault="006A31AE" w:rsidP="006A31AE">
      <w:pPr>
        <w:spacing w:after="0" w:line="276" w:lineRule="auto"/>
        <w:rPr>
          <w:rFonts w:ascii="Arial" w:eastAsia="Calibri" w:hAnsi="Arial" w:cs="Arial"/>
          <w:sz w:val="24"/>
          <w:szCs w:val="24"/>
          <w:u w:val="single"/>
          <w:lang w:eastAsia="en-GB"/>
        </w:rPr>
      </w:pPr>
      <w:r w:rsidRPr="00CF633E">
        <w:rPr>
          <w:rFonts w:ascii="Arial" w:eastAsia="Calibri" w:hAnsi="Arial" w:cs="Arial"/>
          <w:sz w:val="24"/>
          <w:szCs w:val="24"/>
          <w:u w:val="single"/>
          <w:lang w:eastAsia="en-GB"/>
        </w:rPr>
        <w:t xml:space="preserve">Figure 3 – Percentage of pupils reaching the expected standard in Reading, Writing and Mathematics at KS2 </w:t>
      </w:r>
    </w:p>
    <w:p w:rsidR="006A31AE" w:rsidRPr="006A31AE" w:rsidRDefault="006A31AE" w:rsidP="006A31AE">
      <w:pPr>
        <w:spacing w:after="0" w:line="276"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3B7290A1" wp14:editId="35233C3E">
            <wp:extent cx="3870960" cy="2042160"/>
            <wp:effectExtent l="0" t="0" r="15240" b="15240"/>
            <wp:docPr id="1030" name="Chart 10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6A31AE" w:rsidRPr="00435235" w:rsidRDefault="006A31AE" w:rsidP="006A31AE">
      <w:pPr>
        <w:spacing w:after="0" w:line="276" w:lineRule="auto"/>
        <w:rPr>
          <w:rFonts w:ascii="Arial" w:eastAsia="Calibri" w:hAnsi="Arial" w:cs="Arial"/>
          <w:sz w:val="20"/>
          <w:szCs w:val="20"/>
          <w:lang w:eastAsia="en-GB"/>
        </w:rPr>
      </w:pPr>
      <w:r w:rsidRPr="00435235">
        <w:rPr>
          <w:rFonts w:ascii="Arial" w:eastAsia="Calibri" w:hAnsi="Arial" w:cs="Arial"/>
          <w:sz w:val="20"/>
          <w:szCs w:val="20"/>
          <w:lang w:eastAsia="en-GB"/>
        </w:rPr>
        <w:t>Source: DfE LAIT, data released October 2018.</w:t>
      </w:r>
    </w:p>
    <w:p w:rsidR="006A31AE" w:rsidRPr="006A31AE" w:rsidRDefault="006A31AE" w:rsidP="006A31AE">
      <w:pPr>
        <w:spacing w:after="0" w:line="276" w:lineRule="auto"/>
        <w:rPr>
          <w:rFonts w:ascii="Arial" w:eastAsia="Calibri" w:hAnsi="Arial" w:cs="Arial"/>
          <w:sz w:val="24"/>
          <w:szCs w:val="24"/>
          <w:lang w:eastAsia="en-GB"/>
        </w:rPr>
      </w:pPr>
    </w:p>
    <w:p w:rsidR="007B0710" w:rsidRDefault="007B0710" w:rsidP="006A31AE">
      <w:pPr>
        <w:spacing w:after="0" w:line="240" w:lineRule="auto"/>
        <w:outlineLvl w:val="1"/>
        <w:rPr>
          <w:rFonts w:ascii="Arial" w:eastAsia="Times New Roman" w:hAnsi="Arial" w:cs="Arial"/>
          <w:b/>
          <w:bCs/>
          <w:color w:val="00B050"/>
          <w:sz w:val="28"/>
          <w:szCs w:val="24"/>
          <w:lang w:eastAsia="en-GB"/>
        </w:rPr>
      </w:pPr>
    </w:p>
    <w:p w:rsidR="009A3CBD" w:rsidRDefault="009A3CBD" w:rsidP="006A31AE">
      <w:pPr>
        <w:spacing w:after="0" w:line="240" w:lineRule="auto"/>
        <w:outlineLvl w:val="1"/>
        <w:rPr>
          <w:rFonts w:ascii="Arial" w:eastAsia="Times New Roman" w:hAnsi="Arial" w:cs="Arial"/>
          <w:b/>
          <w:bCs/>
          <w:color w:val="00B050"/>
          <w:sz w:val="28"/>
          <w:szCs w:val="24"/>
          <w:lang w:eastAsia="en-GB"/>
        </w:rPr>
      </w:pPr>
    </w:p>
    <w:p w:rsidR="007B0710" w:rsidRDefault="007B0710"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Key Stage 4</w:t>
      </w:r>
    </w:p>
    <w:p w:rsidR="006A31AE" w:rsidRPr="006A31AE" w:rsidRDefault="006A31AE" w:rsidP="006A31AE">
      <w:pPr>
        <w:spacing w:after="0" w:line="276" w:lineRule="auto"/>
        <w:rPr>
          <w:rFonts w:ascii="Arial" w:eastAsia="Calibri" w:hAnsi="Arial" w:cs="Arial"/>
          <w:sz w:val="24"/>
          <w:szCs w:val="24"/>
          <w:lang w:eastAsia="en-GB"/>
        </w:rPr>
      </w:pPr>
    </w:p>
    <w:p w:rsidR="006A31AE" w:rsidRDefault="006A31AE" w:rsidP="006A31AE">
      <w:pPr>
        <w:spacing w:after="0" w:line="276" w:lineRule="auto"/>
        <w:rPr>
          <w:rFonts w:ascii="Arial" w:eastAsia="Calibri" w:hAnsi="Arial" w:cs="Arial"/>
          <w:sz w:val="24"/>
          <w:szCs w:val="24"/>
          <w:lang w:eastAsia="en-GB"/>
        </w:rPr>
      </w:pPr>
      <w:r w:rsidRPr="006A31AE">
        <w:rPr>
          <w:rFonts w:ascii="Arial" w:eastAsia="Calibri" w:hAnsi="Arial" w:cs="Arial"/>
          <w:sz w:val="24"/>
          <w:szCs w:val="24"/>
          <w:lang w:eastAsia="en-GB"/>
        </w:rPr>
        <w:t>Until 2016 attainment at Key Stage 4 was measured by counting 5 or more A*-C grades at GCSE including E</w:t>
      </w:r>
      <w:r w:rsidR="00EC68F1">
        <w:rPr>
          <w:rFonts w:ascii="Arial" w:eastAsia="Calibri" w:hAnsi="Arial" w:cs="Arial"/>
          <w:sz w:val="24"/>
          <w:szCs w:val="24"/>
          <w:lang w:eastAsia="en-GB"/>
        </w:rPr>
        <w:t>nglish and Maths (end of KS4).</w:t>
      </w:r>
    </w:p>
    <w:p w:rsidR="00EC68F1" w:rsidRPr="006A31AE" w:rsidRDefault="00EC68F1" w:rsidP="006A31AE">
      <w:pPr>
        <w:spacing w:after="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From 2015 this measure was changed to Average Attainment 8 Score per Pupil.  Attainment 8 measures the average achievement of pupils in up to 8 qualifications.</w:t>
      </w:r>
    </w:p>
    <w:p w:rsid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The Attainment 8 average score in Croydon has been decreasing since its introduction in 2015, moving from 49.9 in 2015 to 45.7 in 2018.  Croydon performance over the last 3 years has been in line with the national average but has been consistently below the London average.  In fact, 2018 shows Croydon attainment to be 4.1% lower than the outer London average. </w:t>
      </w:r>
    </w:p>
    <w:p w:rsidR="009A3CBD" w:rsidRDefault="009A3CBD" w:rsidP="006A31AE">
      <w:pPr>
        <w:spacing w:after="200" w:line="276" w:lineRule="auto"/>
        <w:rPr>
          <w:rFonts w:ascii="Arial" w:eastAsia="Calibri" w:hAnsi="Arial" w:cs="Arial"/>
          <w:sz w:val="24"/>
          <w:szCs w:val="24"/>
          <w:lang w:eastAsia="en-GB"/>
        </w:rPr>
      </w:pPr>
    </w:p>
    <w:p w:rsidR="009A3CBD" w:rsidRDefault="009A3CBD" w:rsidP="006A31AE">
      <w:pPr>
        <w:spacing w:after="200" w:line="276" w:lineRule="auto"/>
        <w:rPr>
          <w:rFonts w:ascii="Arial" w:eastAsia="Calibri" w:hAnsi="Arial" w:cs="Arial"/>
          <w:sz w:val="24"/>
          <w:szCs w:val="24"/>
          <w:lang w:eastAsia="en-GB"/>
        </w:rPr>
      </w:pPr>
    </w:p>
    <w:p w:rsidR="009A3CBD" w:rsidRDefault="009A3CBD" w:rsidP="006A31AE">
      <w:pPr>
        <w:spacing w:after="200" w:line="276" w:lineRule="auto"/>
        <w:rPr>
          <w:rFonts w:ascii="Arial" w:eastAsia="Calibri" w:hAnsi="Arial" w:cs="Arial"/>
          <w:sz w:val="24"/>
          <w:szCs w:val="24"/>
          <w:lang w:eastAsia="en-GB"/>
        </w:rPr>
      </w:pPr>
    </w:p>
    <w:p w:rsidR="009A3CBD" w:rsidRPr="006A31AE" w:rsidRDefault="009A3CBD" w:rsidP="006A31AE">
      <w:pPr>
        <w:spacing w:after="200" w:line="276" w:lineRule="auto"/>
        <w:rPr>
          <w:rFonts w:ascii="Arial" w:eastAsia="Calibri" w:hAnsi="Arial" w:cs="Arial"/>
          <w:sz w:val="24"/>
          <w:szCs w:val="24"/>
          <w:lang w:eastAsia="en-GB"/>
        </w:rPr>
      </w:pPr>
    </w:p>
    <w:p w:rsidR="006A31AE" w:rsidRPr="006A31AE" w:rsidRDefault="009A3CBD" w:rsidP="006A31AE">
      <w:pPr>
        <w:spacing w:after="200" w:line="276" w:lineRule="auto"/>
        <w:rPr>
          <w:rFonts w:ascii="Arial" w:eastAsia="Calibri" w:hAnsi="Arial" w:cs="Arial"/>
          <w:sz w:val="24"/>
          <w:szCs w:val="24"/>
          <w:lang w:eastAsia="en-GB"/>
        </w:rPr>
      </w:pPr>
      <w:r>
        <w:rPr>
          <w:rFonts w:ascii="Arial" w:eastAsia="Calibri" w:hAnsi="Arial" w:cs="Arial"/>
          <w:sz w:val="24"/>
          <w:szCs w:val="24"/>
          <w:lang w:eastAsia="en-GB"/>
        </w:rPr>
        <w:lastRenderedPageBreak/>
        <w:t>In both years :</w:t>
      </w:r>
      <w:r w:rsidR="006A31AE" w:rsidRPr="006A31AE">
        <w:rPr>
          <w:rFonts w:ascii="Arial" w:eastAsia="Calibri" w:hAnsi="Arial" w:cs="Arial"/>
          <w:sz w:val="24"/>
          <w:szCs w:val="24"/>
          <w:lang w:eastAsia="en-GB"/>
        </w:rPr>
        <w:t xml:space="preserve"> 2016 and 2017, the proportion of pupils eligible for free school meals in Croydon achieving Attainment 8 has been lower than the London average but higher than the national average.</w:t>
      </w:r>
    </w:p>
    <w:p w:rsidR="006A31AE" w:rsidRPr="006A31AE" w:rsidRDefault="006A31AE" w:rsidP="006A31AE">
      <w:pPr>
        <w:spacing w:after="200" w:line="276" w:lineRule="auto"/>
        <w:rPr>
          <w:rFonts w:ascii="Arial" w:eastAsia="Calibri" w:hAnsi="Arial" w:cs="Arial"/>
          <w:sz w:val="24"/>
          <w:szCs w:val="24"/>
          <w:lang w:eastAsia="en-GB"/>
        </w:rPr>
      </w:pPr>
    </w:p>
    <w:p w:rsidR="006A31AE" w:rsidRDefault="006A31AE" w:rsidP="006A31AE">
      <w:pPr>
        <w:spacing w:after="0" w:line="240" w:lineRule="auto"/>
        <w:rPr>
          <w:rFonts w:ascii="Arial" w:eastAsia="Calibri" w:hAnsi="Arial" w:cs="Arial"/>
          <w:sz w:val="24"/>
          <w:szCs w:val="24"/>
          <w:u w:val="single"/>
          <w:lang w:eastAsia="en-GB"/>
        </w:rPr>
      </w:pPr>
      <w:r w:rsidRPr="00CF633E">
        <w:rPr>
          <w:rFonts w:ascii="Arial" w:eastAsia="Calibri" w:hAnsi="Arial" w:cs="Arial"/>
          <w:sz w:val="24"/>
          <w:szCs w:val="24"/>
          <w:u w:val="single"/>
          <w:lang w:eastAsia="en-GB"/>
        </w:rPr>
        <w:t xml:space="preserve">Figure </w:t>
      </w:r>
      <w:r w:rsidR="00CF1193">
        <w:rPr>
          <w:rFonts w:ascii="Arial" w:eastAsia="Calibri" w:hAnsi="Arial" w:cs="Arial"/>
          <w:sz w:val="24"/>
          <w:szCs w:val="24"/>
          <w:u w:val="single"/>
          <w:lang w:eastAsia="en-GB"/>
        </w:rPr>
        <w:t>4</w:t>
      </w:r>
      <w:r w:rsidRPr="00CF633E">
        <w:rPr>
          <w:rFonts w:ascii="Arial" w:eastAsia="Calibri" w:hAnsi="Arial" w:cs="Arial"/>
          <w:sz w:val="24"/>
          <w:szCs w:val="24"/>
          <w:u w:val="single"/>
          <w:lang w:eastAsia="en-GB"/>
        </w:rPr>
        <w:t xml:space="preserve"> – </w:t>
      </w:r>
      <w:r w:rsidR="00CF1193">
        <w:rPr>
          <w:rFonts w:ascii="Arial" w:eastAsia="Calibri" w:hAnsi="Arial" w:cs="Arial"/>
          <w:sz w:val="24"/>
          <w:szCs w:val="24"/>
          <w:u w:val="single"/>
          <w:lang w:eastAsia="en-GB"/>
        </w:rPr>
        <w:t xml:space="preserve">KS4 </w:t>
      </w:r>
      <w:r w:rsidRPr="00CF633E">
        <w:rPr>
          <w:rFonts w:ascii="Arial" w:eastAsia="Calibri" w:hAnsi="Arial" w:cs="Arial"/>
          <w:sz w:val="24"/>
          <w:szCs w:val="24"/>
          <w:u w:val="single"/>
          <w:lang w:eastAsia="en-GB"/>
        </w:rPr>
        <w:t>Attainment 8 scores by FSM eligibility</w:t>
      </w:r>
    </w:p>
    <w:p w:rsidR="00EC68F1" w:rsidRPr="00CF633E" w:rsidRDefault="00EC68F1" w:rsidP="006A31AE">
      <w:pPr>
        <w:spacing w:after="0" w:line="240" w:lineRule="auto"/>
        <w:rPr>
          <w:rFonts w:ascii="Arial" w:eastAsia="Calibri" w:hAnsi="Arial" w:cs="Arial"/>
          <w:sz w:val="24"/>
          <w:szCs w:val="24"/>
          <w:u w:val="single"/>
          <w:lang w:eastAsia="en-GB"/>
        </w:rPr>
      </w:pPr>
    </w:p>
    <w:p w:rsidR="006A31AE" w:rsidRPr="006A31AE" w:rsidRDefault="006A31AE" w:rsidP="00600C44">
      <w:pPr>
        <w:spacing w:after="0" w:line="240"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279C525C" wp14:editId="33106D69">
            <wp:extent cx="4048282" cy="2550160"/>
            <wp:effectExtent l="19050" t="19050" r="28575" b="21590"/>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072256" cy="2565262"/>
                    </a:xfrm>
                    <a:prstGeom prst="rect">
                      <a:avLst/>
                    </a:prstGeom>
                    <a:noFill/>
                    <a:ln>
                      <a:solidFill>
                        <a:schemeClr val="tx1"/>
                      </a:solidFill>
                    </a:ln>
                  </pic:spPr>
                </pic:pic>
              </a:graphicData>
            </a:graphic>
          </wp:inline>
        </w:drawing>
      </w:r>
    </w:p>
    <w:p w:rsidR="006A31AE" w:rsidRPr="00600C44" w:rsidRDefault="006A31AE" w:rsidP="00600C44">
      <w:pPr>
        <w:spacing w:after="0" w:line="240" w:lineRule="auto"/>
        <w:rPr>
          <w:rFonts w:ascii="Arial" w:eastAsia="Calibri" w:hAnsi="Arial" w:cs="Arial"/>
          <w:sz w:val="20"/>
          <w:szCs w:val="20"/>
          <w:lang w:eastAsia="en-GB"/>
        </w:rPr>
      </w:pPr>
      <w:r w:rsidRPr="00600C44">
        <w:rPr>
          <w:rFonts w:ascii="Arial" w:eastAsia="Calibri" w:hAnsi="Arial" w:cs="Arial"/>
          <w:sz w:val="20"/>
          <w:szCs w:val="20"/>
          <w:lang w:eastAsia="en-GB"/>
        </w:rPr>
        <w:t>Source: DfE LAIT</w:t>
      </w:r>
    </w:p>
    <w:p w:rsidR="006A31AE" w:rsidRPr="006A31AE" w:rsidRDefault="006A31AE" w:rsidP="006A31AE">
      <w:pPr>
        <w:spacing w:after="0" w:line="276" w:lineRule="auto"/>
        <w:rPr>
          <w:rFonts w:ascii="Arial" w:eastAsia="Calibri" w:hAnsi="Arial" w:cs="Arial"/>
          <w:sz w:val="24"/>
          <w:szCs w:val="24"/>
          <w:lang w:eastAsia="en-GB"/>
        </w:rPr>
      </w:pPr>
    </w:p>
    <w:p w:rsid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Across the country there are variations in the proportions of pupils from different ethnic groups achieving Attainment 8 scores. Since 2015, at local, regional and national levels, </w:t>
      </w:r>
      <w:r w:rsidRPr="006A31AE">
        <w:rPr>
          <w:rFonts w:ascii="Arial" w:eastAsia="Calibri" w:hAnsi="Arial" w:cs="Arial"/>
          <w:sz w:val="24"/>
          <w:szCs w:val="24"/>
          <w:lang w:eastAsia="en-GB"/>
        </w:rPr>
        <w:t xml:space="preserve">there has been a lower proportion of pupils from Black backgrounds achieving Attainment 8 scores.  Figure 7 shows the latest year’s figures and contrasts the other ethnic groups against pupils from a Chinese background who are attaining higher average scores for this measure. </w:t>
      </w:r>
    </w:p>
    <w:p w:rsidR="00A12B47" w:rsidRDefault="00A12B47" w:rsidP="006A31AE">
      <w:pPr>
        <w:spacing w:after="200" w:line="276" w:lineRule="auto"/>
        <w:rPr>
          <w:rFonts w:ascii="Arial" w:eastAsia="Calibri" w:hAnsi="Arial" w:cs="Arial"/>
          <w:sz w:val="24"/>
          <w:szCs w:val="24"/>
          <w:u w:val="single"/>
          <w:lang w:eastAsia="en-GB"/>
        </w:rPr>
      </w:pPr>
    </w:p>
    <w:p w:rsidR="006A31AE" w:rsidRPr="00CF633E" w:rsidRDefault="006A31AE" w:rsidP="006A31AE">
      <w:pPr>
        <w:spacing w:after="200" w:line="276" w:lineRule="auto"/>
        <w:rPr>
          <w:rFonts w:ascii="Arial" w:eastAsia="Calibri" w:hAnsi="Arial" w:cs="Arial"/>
          <w:sz w:val="24"/>
          <w:szCs w:val="24"/>
          <w:u w:val="single"/>
          <w:lang w:eastAsia="en-GB"/>
        </w:rPr>
      </w:pPr>
      <w:r w:rsidRPr="00CF633E">
        <w:rPr>
          <w:rFonts w:ascii="Arial" w:eastAsia="Calibri" w:hAnsi="Arial" w:cs="Arial"/>
          <w:sz w:val="24"/>
          <w:szCs w:val="24"/>
          <w:u w:val="single"/>
          <w:lang w:eastAsia="en-GB"/>
        </w:rPr>
        <w:t xml:space="preserve">Figure </w:t>
      </w:r>
      <w:r w:rsidR="00CF1193">
        <w:rPr>
          <w:rFonts w:ascii="Arial" w:eastAsia="Calibri" w:hAnsi="Arial" w:cs="Arial"/>
          <w:sz w:val="24"/>
          <w:szCs w:val="24"/>
          <w:u w:val="single"/>
          <w:lang w:eastAsia="en-GB"/>
        </w:rPr>
        <w:t>5</w:t>
      </w:r>
      <w:r w:rsidRPr="00CF633E">
        <w:rPr>
          <w:rFonts w:ascii="Arial" w:eastAsia="Calibri" w:hAnsi="Arial" w:cs="Arial"/>
          <w:sz w:val="24"/>
          <w:szCs w:val="24"/>
          <w:u w:val="single"/>
          <w:lang w:eastAsia="en-GB"/>
        </w:rPr>
        <w:t xml:space="preserve">– </w:t>
      </w:r>
      <w:r w:rsidR="00CF1193">
        <w:rPr>
          <w:rFonts w:ascii="Arial" w:eastAsia="Calibri" w:hAnsi="Arial" w:cs="Arial"/>
          <w:sz w:val="24"/>
          <w:szCs w:val="24"/>
          <w:u w:val="single"/>
          <w:lang w:eastAsia="en-GB"/>
        </w:rPr>
        <w:t xml:space="preserve">KS4 </w:t>
      </w:r>
      <w:r w:rsidRPr="00CF633E">
        <w:rPr>
          <w:rFonts w:ascii="Arial" w:eastAsia="Calibri" w:hAnsi="Arial" w:cs="Arial"/>
          <w:sz w:val="24"/>
          <w:szCs w:val="24"/>
          <w:u w:val="single"/>
          <w:lang w:eastAsia="en-GB"/>
        </w:rPr>
        <w:t>Average Attainment 8 scores by ethnic group</w:t>
      </w:r>
    </w:p>
    <w:p w:rsidR="006A31AE" w:rsidRPr="006A31AE" w:rsidRDefault="006A31AE" w:rsidP="00600C44">
      <w:pPr>
        <w:spacing w:after="0" w:line="240"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184234C1" wp14:editId="7506C85B">
            <wp:extent cx="3976255" cy="2500745"/>
            <wp:effectExtent l="0" t="0" r="5715" b="13970"/>
            <wp:docPr id="1054" name="Chart 10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rsidR="006A31AE" w:rsidRPr="00600C44" w:rsidRDefault="006A31AE" w:rsidP="00600C44">
      <w:pPr>
        <w:spacing w:after="0" w:line="240" w:lineRule="auto"/>
        <w:rPr>
          <w:rFonts w:ascii="Arial" w:eastAsia="Calibri" w:hAnsi="Arial" w:cs="Arial"/>
          <w:bCs/>
          <w:sz w:val="20"/>
          <w:szCs w:val="20"/>
        </w:rPr>
      </w:pPr>
      <w:r w:rsidRPr="00600C44">
        <w:rPr>
          <w:rFonts w:ascii="Arial" w:eastAsia="Calibri" w:hAnsi="Arial" w:cs="Arial"/>
          <w:bCs/>
          <w:sz w:val="20"/>
          <w:szCs w:val="20"/>
        </w:rPr>
        <w:t>Source: DfE LAIT.</w:t>
      </w:r>
    </w:p>
    <w:p w:rsidR="006A31AE" w:rsidRDefault="006A31AE" w:rsidP="006A31AE">
      <w:pPr>
        <w:spacing w:after="0" w:line="276" w:lineRule="auto"/>
        <w:rPr>
          <w:rFonts w:ascii="Arial" w:eastAsia="Calibri" w:hAnsi="Arial" w:cs="Arial"/>
          <w:sz w:val="24"/>
          <w:szCs w:val="24"/>
          <w:lang w:eastAsia="en-GB"/>
        </w:rPr>
      </w:pPr>
    </w:p>
    <w:p w:rsidR="0066029F" w:rsidRDefault="0066029F" w:rsidP="006A31AE">
      <w:pPr>
        <w:spacing w:after="0" w:line="276" w:lineRule="auto"/>
        <w:rPr>
          <w:rFonts w:ascii="Arial" w:eastAsia="Calibri" w:hAnsi="Arial" w:cs="Arial"/>
          <w:sz w:val="24"/>
          <w:szCs w:val="24"/>
          <w:lang w:eastAsia="en-GB"/>
        </w:rPr>
      </w:pPr>
    </w:p>
    <w:p w:rsidR="00095A6E" w:rsidRDefault="00095A6E" w:rsidP="006A31AE">
      <w:pPr>
        <w:spacing w:after="0" w:line="276" w:lineRule="auto"/>
        <w:rPr>
          <w:rFonts w:ascii="Arial" w:eastAsia="Calibri" w:hAnsi="Arial" w:cs="Arial"/>
          <w:sz w:val="24"/>
          <w:szCs w:val="24"/>
          <w:lang w:eastAsia="en-GB"/>
        </w:rPr>
      </w:pPr>
    </w:p>
    <w:p w:rsidR="00095A6E" w:rsidRDefault="00095A6E" w:rsidP="006A31AE">
      <w:pPr>
        <w:spacing w:after="0" w:line="276" w:lineRule="auto"/>
        <w:rPr>
          <w:rFonts w:ascii="Arial" w:eastAsia="Calibri" w:hAnsi="Arial" w:cs="Arial"/>
          <w:sz w:val="24"/>
          <w:szCs w:val="24"/>
          <w:lang w:eastAsia="en-GB"/>
        </w:rPr>
      </w:pPr>
    </w:p>
    <w:p w:rsidR="006A31AE" w:rsidRDefault="006A31AE"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lastRenderedPageBreak/>
        <w:t>Attendance and exclusions</w:t>
      </w:r>
    </w:p>
    <w:p w:rsidR="006A31AE" w:rsidRPr="006A31AE" w:rsidRDefault="006A31AE" w:rsidP="006A31AE">
      <w:pPr>
        <w:spacing w:after="0" w:line="276" w:lineRule="auto"/>
        <w:rPr>
          <w:rFonts w:ascii="Arial" w:eastAsia="Calibri" w:hAnsi="Arial" w:cs="Arial"/>
          <w:b/>
          <w:color w:val="00B050"/>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The latest figures for 2017 show that the rates of authorised absences from primary schools (2.80%) and secondary schools (3.30%) in Croydon have been lower than the regional and national average rates.  </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Conversely, rates of unauthorised absences from Croydon primary and secondary schools have always tended to be higher than the regional and national figures.  In 2017, unauthorised absence was 1.20% from Croydon primary schools and 1.9% from Croydon secondary schools.</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Croydon has also seen a reduction in permanent exclusions. These are reported as the total number of exclusions as a percentage of the school population. The latest figure for Croydon for 2016/17 was 0.07% - lower than both the regional average of 0.08% and the national average of 0.10%. </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Fixed period exclusions in Croydon had been below 3.00% in  2013 and 2014 but since 2015, there have been annual increases. The latest figure for 2017 is 3.70% compared to the regional average of 3.49% and the national average of 4.76%.</w:t>
      </w:r>
    </w:p>
    <w:p w:rsidR="006A31AE" w:rsidRDefault="006A31AE" w:rsidP="006A31AE">
      <w:pPr>
        <w:spacing w:after="0" w:line="240" w:lineRule="auto"/>
        <w:outlineLvl w:val="0"/>
        <w:rPr>
          <w:rFonts w:ascii="Arial" w:eastAsia="Times New Roman" w:hAnsi="Arial" w:cs="Arial"/>
          <w:b/>
          <w:bCs/>
          <w:color w:val="701471"/>
          <w:sz w:val="28"/>
          <w:szCs w:val="24"/>
          <w:lang w:eastAsia="en-GB"/>
        </w:rPr>
      </w:pPr>
      <w:bookmarkStart w:id="11" w:name="_Further_education"/>
      <w:bookmarkEnd w:id="11"/>
    </w:p>
    <w:p w:rsidR="00095A6E" w:rsidRPr="006A31AE" w:rsidRDefault="00095A6E" w:rsidP="006A31AE">
      <w:pPr>
        <w:spacing w:after="0" w:line="240" w:lineRule="auto"/>
        <w:outlineLvl w:val="0"/>
        <w:rPr>
          <w:rFonts w:ascii="Arial" w:eastAsia="Times New Roman" w:hAnsi="Arial" w:cs="Arial"/>
          <w:b/>
          <w:bCs/>
          <w:color w:val="701471"/>
          <w:sz w:val="28"/>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4C2686" w:rsidRPr="006A31AE" w:rsidRDefault="004C2686"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Further education</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Key Stage 5</w:t>
      </w:r>
    </w:p>
    <w:p w:rsidR="006A31AE" w:rsidRPr="006A31AE" w:rsidRDefault="006A31AE" w:rsidP="006A31AE">
      <w:pPr>
        <w:spacing w:after="0" w:line="276" w:lineRule="auto"/>
        <w:rPr>
          <w:rFonts w:ascii="Arial" w:eastAsia="Calibri" w:hAnsi="Arial" w:cs="Arial"/>
          <w:sz w:val="24"/>
          <w:szCs w:val="24"/>
        </w:rPr>
      </w:pPr>
      <w:bookmarkStart w:id="12" w:name="_Higher_education"/>
      <w:bookmarkEnd w:id="12"/>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 xml:space="preserve">The proportion of pupils in Croydon achieving AAB grades at Key Stage 5 has consistently remained significantly below the regional and national averages, as shown in Figure </w:t>
      </w:r>
      <w:r w:rsidR="004C2686">
        <w:rPr>
          <w:rFonts w:ascii="Arial" w:eastAsia="Calibri" w:hAnsi="Arial" w:cs="Arial"/>
          <w:sz w:val="24"/>
          <w:szCs w:val="24"/>
        </w:rPr>
        <w:t>6</w:t>
      </w:r>
      <w:r w:rsidRPr="006A31AE">
        <w:rPr>
          <w:rFonts w:ascii="Arial" w:eastAsia="Calibri" w:hAnsi="Arial" w:cs="Arial"/>
          <w:sz w:val="24"/>
          <w:szCs w:val="24"/>
        </w:rPr>
        <w:t>.</w:t>
      </w: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Croydon schools have some way to go to catch up with the regional and national performance for this measure and Croydon’s worsening performance in 2018 at 8.4% should be a concern.</w:t>
      </w:r>
    </w:p>
    <w:p w:rsidR="006A31AE" w:rsidRPr="00CF633E" w:rsidRDefault="006A31AE" w:rsidP="006A31AE">
      <w:pPr>
        <w:spacing w:after="200" w:line="276" w:lineRule="auto"/>
        <w:rPr>
          <w:rFonts w:ascii="Arial" w:eastAsia="Calibri" w:hAnsi="Arial" w:cs="Arial"/>
          <w:sz w:val="24"/>
          <w:szCs w:val="24"/>
          <w:u w:val="single"/>
        </w:rPr>
      </w:pPr>
      <w:r w:rsidRPr="00CF633E">
        <w:rPr>
          <w:rFonts w:ascii="Arial" w:eastAsia="Calibri" w:hAnsi="Arial" w:cs="Arial"/>
          <w:sz w:val="24"/>
          <w:szCs w:val="24"/>
          <w:u w:val="single"/>
        </w:rPr>
        <w:t xml:space="preserve">Figure </w:t>
      </w:r>
      <w:r w:rsidR="00CF1193">
        <w:rPr>
          <w:rFonts w:ascii="Arial" w:eastAsia="Calibri" w:hAnsi="Arial" w:cs="Arial"/>
          <w:sz w:val="24"/>
          <w:szCs w:val="24"/>
          <w:u w:val="single"/>
        </w:rPr>
        <w:t>6</w:t>
      </w:r>
      <w:r w:rsidRPr="00CF633E">
        <w:rPr>
          <w:rFonts w:ascii="Arial" w:eastAsia="Calibri" w:hAnsi="Arial" w:cs="Arial"/>
          <w:sz w:val="24"/>
          <w:szCs w:val="24"/>
          <w:u w:val="single"/>
        </w:rPr>
        <w:t xml:space="preserve"> – The percentage of pupils achieving AAB grades</w:t>
      </w:r>
    </w:p>
    <w:p w:rsidR="00671076" w:rsidRPr="006A31AE" w:rsidRDefault="006A31AE" w:rsidP="009A3CBD">
      <w:pPr>
        <w:spacing w:after="0" w:line="240" w:lineRule="auto"/>
        <w:rPr>
          <w:rFonts w:ascii="Arial" w:eastAsia="Calibri" w:hAnsi="Arial" w:cs="Arial"/>
          <w:sz w:val="24"/>
          <w:szCs w:val="24"/>
        </w:rPr>
      </w:pPr>
      <w:r w:rsidRPr="006A31AE">
        <w:rPr>
          <w:rFonts w:ascii="Arial" w:eastAsia="Calibri" w:hAnsi="Arial" w:cs="Arial"/>
          <w:noProof/>
          <w:sz w:val="24"/>
          <w:szCs w:val="24"/>
          <w:lang w:eastAsia="en-GB"/>
        </w:rPr>
        <w:drawing>
          <wp:inline distT="0" distB="0" distL="0" distR="0" wp14:anchorId="63AD5650" wp14:editId="0BD52623">
            <wp:extent cx="4155440" cy="2499360"/>
            <wp:effectExtent l="0" t="0" r="16510" b="15240"/>
            <wp:docPr id="144" name="Chart 1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p>
    <w:p w:rsidR="006A31AE" w:rsidRPr="00671076" w:rsidRDefault="006A31AE" w:rsidP="009A3CBD">
      <w:pPr>
        <w:spacing w:before="120" w:after="0" w:line="240" w:lineRule="auto"/>
        <w:outlineLvl w:val="1"/>
        <w:rPr>
          <w:rFonts w:ascii="Arial" w:eastAsia="Times New Roman" w:hAnsi="Arial" w:cs="Arial"/>
          <w:bCs/>
          <w:sz w:val="20"/>
          <w:szCs w:val="20"/>
          <w:lang w:eastAsia="en-GB"/>
        </w:rPr>
      </w:pPr>
      <w:r w:rsidRPr="00671076">
        <w:rPr>
          <w:rFonts w:ascii="Arial" w:eastAsia="Calibri" w:hAnsi="Arial" w:cs="Arial"/>
          <w:sz w:val="20"/>
          <w:szCs w:val="20"/>
          <w:lang w:eastAsia="en-GB"/>
        </w:rPr>
        <w:t>Source: DfE LAIT, data released October 2018.</w:t>
      </w:r>
    </w:p>
    <w:p w:rsidR="0066029F" w:rsidRPr="00E1567D" w:rsidRDefault="0066029F" w:rsidP="006A31AE">
      <w:pPr>
        <w:spacing w:after="0" w:line="240" w:lineRule="auto"/>
        <w:outlineLvl w:val="1"/>
        <w:rPr>
          <w:rFonts w:ascii="Arial" w:eastAsia="Times New Roman" w:hAnsi="Arial" w:cs="Arial"/>
          <w:b/>
          <w:bCs/>
          <w:color w:val="000000" w:themeColor="text1"/>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Level 2 qualification by age 19</w:t>
      </w:r>
    </w:p>
    <w:p w:rsidR="006A31AE" w:rsidRPr="006A31AE" w:rsidRDefault="006A31AE" w:rsidP="006A31AE">
      <w:pPr>
        <w:spacing w:after="0" w:line="276" w:lineRule="auto"/>
        <w:rPr>
          <w:rFonts w:ascii="Arial" w:eastAsia="Calibri" w:hAnsi="Arial" w:cs="Arial"/>
          <w:sz w:val="24"/>
          <w:szCs w:val="24"/>
          <w:lang w:eastAsia="en-GB"/>
        </w:rPr>
      </w:pPr>
    </w:p>
    <w:p w:rsidR="004C2686"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latest figure for 2017 showed that 85.5% of young people in Croydon had achieved a Level 2 qualification by the age of 19. This is a poorer performance compared to the previous year (87.0%) but is still close to the national average of 85.6%.</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Figure </w:t>
      </w:r>
      <w:r w:rsidR="004C2686">
        <w:rPr>
          <w:rFonts w:ascii="Arial" w:eastAsia="Calibri" w:hAnsi="Arial" w:cs="Arial"/>
          <w:sz w:val="24"/>
          <w:szCs w:val="24"/>
          <w:lang w:eastAsia="en-GB"/>
        </w:rPr>
        <w:t xml:space="preserve">7 </w:t>
      </w:r>
      <w:r w:rsidRPr="006A31AE">
        <w:rPr>
          <w:rFonts w:ascii="Arial" w:eastAsia="Calibri" w:hAnsi="Arial" w:cs="Arial"/>
          <w:sz w:val="24"/>
          <w:szCs w:val="24"/>
          <w:lang w:eastAsia="en-GB"/>
        </w:rPr>
        <w:t xml:space="preserve">shows that the proportion of young people in Croydon who had achieved a Level 2 qualification with English and Maths by age 19 has improved year on year but has dropped slightly to 68.8% which is slightly lower compared to last year’s 69.6%.  Despite this being a drop, it is still better than Croydon’s statistical neighbours and in line with the national average. </w:t>
      </w:r>
    </w:p>
    <w:p w:rsidR="0066029F" w:rsidRDefault="0066029F" w:rsidP="006A31AE">
      <w:pPr>
        <w:spacing w:after="0" w:line="240" w:lineRule="auto"/>
        <w:contextualSpacing/>
        <w:rPr>
          <w:rFonts w:ascii="Arial" w:eastAsia="Calibri" w:hAnsi="Arial" w:cs="Arial"/>
          <w:sz w:val="24"/>
          <w:szCs w:val="24"/>
          <w:u w:val="single"/>
        </w:rPr>
      </w:pPr>
    </w:p>
    <w:p w:rsidR="0066029F" w:rsidRDefault="0066029F" w:rsidP="006A31AE">
      <w:pPr>
        <w:spacing w:after="0" w:line="240" w:lineRule="auto"/>
        <w:contextualSpacing/>
        <w:rPr>
          <w:rFonts w:ascii="Arial" w:eastAsia="Calibri" w:hAnsi="Arial" w:cs="Arial"/>
          <w:sz w:val="24"/>
          <w:szCs w:val="24"/>
          <w:u w:val="single"/>
        </w:rPr>
      </w:pPr>
    </w:p>
    <w:p w:rsidR="0066029F" w:rsidRDefault="0066029F" w:rsidP="006A31AE">
      <w:pPr>
        <w:spacing w:after="0" w:line="240" w:lineRule="auto"/>
        <w:contextualSpacing/>
        <w:rPr>
          <w:rFonts w:ascii="Arial" w:eastAsia="Calibri" w:hAnsi="Arial" w:cs="Arial"/>
          <w:sz w:val="24"/>
          <w:szCs w:val="24"/>
          <w:u w:val="single"/>
        </w:rPr>
      </w:pPr>
    </w:p>
    <w:p w:rsidR="0066029F" w:rsidRDefault="0066029F" w:rsidP="006A31AE">
      <w:pPr>
        <w:spacing w:after="0" w:line="240" w:lineRule="auto"/>
        <w:contextualSpacing/>
        <w:rPr>
          <w:rFonts w:ascii="Arial" w:eastAsia="Calibri" w:hAnsi="Arial" w:cs="Arial"/>
          <w:sz w:val="24"/>
          <w:szCs w:val="24"/>
          <w:u w:val="single"/>
        </w:rPr>
      </w:pPr>
    </w:p>
    <w:p w:rsidR="0066029F" w:rsidRDefault="0066029F" w:rsidP="006A31AE">
      <w:pPr>
        <w:spacing w:after="0" w:line="240" w:lineRule="auto"/>
        <w:contextualSpacing/>
        <w:rPr>
          <w:rFonts w:ascii="Arial" w:eastAsia="Calibri" w:hAnsi="Arial" w:cs="Arial"/>
          <w:sz w:val="24"/>
          <w:szCs w:val="24"/>
          <w:u w:val="single"/>
        </w:rPr>
      </w:pPr>
    </w:p>
    <w:p w:rsidR="0066029F" w:rsidRDefault="0066029F" w:rsidP="006A31AE">
      <w:pPr>
        <w:spacing w:after="0" w:line="240" w:lineRule="auto"/>
        <w:contextualSpacing/>
        <w:rPr>
          <w:rFonts w:ascii="Arial" w:eastAsia="Calibri" w:hAnsi="Arial" w:cs="Arial"/>
          <w:sz w:val="24"/>
          <w:szCs w:val="24"/>
          <w:u w:val="single"/>
        </w:rPr>
      </w:pPr>
    </w:p>
    <w:p w:rsidR="0066029F" w:rsidRDefault="0066029F" w:rsidP="006A31AE">
      <w:pPr>
        <w:spacing w:after="0" w:line="240" w:lineRule="auto"/>
        <w:contextualSpacing/>
        <w:rPr>
          <w:rFonts w:ascii="Arial" w:eastAsia="Calibri" w:hAnsi="Arial" w:cs="Arial"/>
          <w:sz w:val="24"/>
          <w:szCs w:val="24"/>
          <w:u w:val="single"/>
        </w:rPr>
      </w:pPr>
    </w:p>
    <w:p w:rsidR="0066029F" w:rsidRDefault="0066029F" w:rsidP="006A31AE">
      <w:pPr>
        <w:spacing w:after="0" w:line="240" w:lineRule="auto"/>
        <w:contextualSpacing/>
        <w:rPr>
          <w:rFonts w:ascii="Arial" w:eastAsia="Calibri" w:hAnsi="Arial" w:cs="Arial"/>
          <w:sz w:val="24"/>
          <w:szCs w:val="24"/>
          <w:u w:val="single"/>
        </w:rPr>
      </w:pPr>
    </w:p>
    <w:p w:rsidR="0066029F" w:rsidRDefault="0066029F" w:rsidP="006A31AE">
      <w:pPr>
        <w:spacing w:after="0" w:line="240" w:lineRule="auto"/>
        <w:contextualSpacing/>
        <w:rPr>
          <w:rFonts w:ascii="Arial" w:eastAsia="Calibri" w:hAnsi="Arial" w:cs="Arial"/>
          <w:sz w:val="24"/>
          <w:szCs w:val="24"/>
          <w:u w:val="single"/>
        </w:rPr>
      </w:pPr>
    </w:p>
    <w:p w:rsidR="0066029F" w:rsidRDefault="0066029F" w:rsidP="006A31AE">
      <w:pPr>
        <w:spacing w:after="0" w:line="240" w:lineRule="auto"/>
        <w:contextualSpacing/>
        <w:rPr>
          <w:rFonts w:ascii="Arial" w:eastAsia="Calibri" w:hAnsi="Arial" w:cs="Arial"/>
          <w:sz w:val="24"/>
          <w:szCs w:val="24"/>
          <w:u w:val="single"/>
        </w:rPr>
      </w:pPr>
    </w:p>
    <w:p w:rsidR="0066029F" w:rsidRDefault="0066029F" w:rsidP="006A31AE">
      <w:pPr>
        <w:spacing w:after="0" w:line="240" w:lineRule="auto"/>
        <w:contextualSpacing/>
        <w:rPr>
          <w:rFonts w:ascii="Arial" w:eastAsia="Calibri" w:hAnsi="Arial" w:cs="Arial"/>
          <w:sz w:val="24"/>
          <w:szCs w:val="24"/>
          <w:u w:val="single"/>
        </w:rPr>
      </w:pPr>
    </w:p>
    <w:p w:rsidR="0066029F" w:rsidRDefault="0066029F" w:rsidP="006A31AE">
      <w:pPr>
        <w:spacing w:after="0" w:line="240" w:lineRule="auto"/>
        <w:contextualSpacing/>
        <w:rPr>
          <w:rFonts w:ascii="Arial" w:eastAsia="Calibri" w:hAnsi="Arial" w:cs="Arial"/>
          <w:sz w:val="24"/>
          <w:szCs w:val="24"/>
          <w:u w:val="single"/>
        </w:rPr>
      </w:pPr>
    </w:p>
    <w:p w:rsidR="0066029F" w:rsidRDefault="0066029F" w:rsidP="006A31AE">
      <w:pPr>
        <w:spacing w:after="0" w:line="240" w:lineRule="auto"/>
        <w:contextualSpacing/>
        <w:rPr>
          <w:rFonts w:ascii="Arial" w:eastAsia="Calibri" w:hAnsi="Arial" w:cs="Arial"/>
          <w:sz w:val="24"/>
          <w:szCs w:val="24"/>
          <w:u w:val="single"/>
        </w:rPr>
      </w:pPr>
    </w:p>
    <w:p w:rsidR="006A31AE" w:rsidRPr="00CF633E" w:rsidRDefault="00CF633E" w:rsidP="006A31AE">
      <w:pPr>
        <w:spacing w:after="0" w:line="240" w:lineRule="auto"/>
        <w:contextualSpacing/>
        <w:rPr>
          <w:rFonts w:ascii="Arial" w:eastAsia="Calibri" w:hAnsi="Arial" w:cs="Arial"/>
          <w:sz w:val="24"/>
          <w:szCs w:val="24"/>
          <w:u w:val="single"/>
          <w:lang w:eastAsia="en-GB"/>
        </w:rPr>
      </w:pPr>
      <w:r w:rsidRPr="00CF633E">
        <w:rPr>
          <w:rFonts w:ascii="Arial" w:eastAsia="Calibri" w:hAnsi="Arial" w:cs="Arial"/>
          <w:sz w:val="24"/>
          <w:szCs w:val="24"/>
          <w:u w:val="single"/>
        </w:rPr>
        <w:t xml:space="preserve">Figure </w:t>
      </w:r>
      <w:r w:rsidR="00CF1193">
        <w:rPr>
          <w:rFonts w:ascii="Arial" w:eastAsia="Calibri" w:hAnsi="Arial" w:cs="Arial"/>
          <w:sz w:val="24"/>
          <w:szCs w:val="24"/>
          <w:u w:val="single"/>
        </w:rPr>
        <w:t>7</w:t>
      </w:r>
      <w:r w:rsidR="006A31AE" w:rsidRPr="00CF633E">
        <w:rPr>
          <w:rFonts w:ascii="Arial" w:eastAsia="Calibri" w:hAnsi="Arial" w:cs="Arial"/>
          <w:sz w:val="24"/>
          <w:szCs w:val="24"/>
          <w:u w:val="single"/>
        </w:rPr>
        <w:t xml:space="preserve"> – The percentage of 19 year olds with a level 2 qualification with English and Maths.</w:t>
      </w:r>
    </w:p>
    <w:p w:rsidR="006A31AE" w:rsidRPr="006A31AE" w:rsidRDefault="006A31AE" w:rsidP="00600C44">
      <w:pPr>
        <w:spacing w:after="0" w:line="276"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0B24D5D9" wp14:editId="1F2CA41A">
            <wp:extent cx="3870960" cy="2316480"/>
            <wp:effectExtent l="0" t="0" r="15240" b="7620"/>
            <wp:docPr id="150" name="Chart 1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rsidR="006A31AE" w:rsidRPr="00600C44" w:rsidRDefault="006A31AE" w:rsidP="00600C44">
      <w:pPr>
        <w:spacing w:after="0" w:line="240" w:lineRule="auto"/>
        <w:rPr>
          <w:rFonts w:ascii="Arial" w:eastAsia="Calibri" w:hAnsi="Arial" w:cs="Arial"/>
          <w:sz w:val="20"/>
          <w:szCs w:val="20"/>
          <w:lang w:eastAsia="en-GB"/>
        </w:rPr>
      </w:pPr>
      <w:r w:rsidRPr="00600C44">
        <w:rPr>
          <w:rFonts w:ascii="Arial" w:eastAsia="Calibri" w:hAnsi="Arial" w:cs="Arial"/>
          <w:sz w:val="20"/>
          <w:szCs w:val="20"/>
          <w:lang w:eastAsia="en-GB"/>
        </w:rPr>
        <w:t>Source : DfE LAIT, data released October 2018.</w:t>
      </w:r>
    </w:p>
    <w:p w:rsidR="00600C44" w:rsidRDefault="00600C44" w:rsidP="006A31AE">
      <w:pPr>
        <w:spacing w:after="200" w:line="276" w:lineRule="auto"/>
        <w:rPr>
          <w:rFonts w:ascii="Arial" w:eastAsia="Calibri" w:hAnsi="Arial" w:cs="Arial"/>
          <w:sz w:val="24"/>
          <w:szCs w:val="24"/>
          <w:lang w:eastAsia="en-GB"/>
        </w:rPr>
      </w:pPr>
    </w:p>
    <w:p w:rsidR="00A12B47" w:rsidRDefault="006A31AE" w:rsidP="006A31AE">
      <w:pPr>
        <w:spacing w:after="200" w:line="276" w:lineRule="auto"/>
        <w:rPr>
          <w:rFonts w:ascii="Arial" w:eastAsia="Calibri" w:hAnsi="Arial" w:cs="Arial"/>
          <w:sz w:val="24"/>
          <w:szCs w:val="24"/>
          <w:lang w:eastAsia="en-GB"/>
        </w:rPr>
      </w:pPr>
      <w:r w:rsidRPr="00142100">
        <w:rPr>
          <w:rFonts w:ascii="Arial" w:eastAsia="Calibri" w:hAnsi="Arial" w:cs="Arial"/>
          <w:sz w:val="24"/>
          <w:szCs w:val="24"/>
          <w:lang w:eastAsia="en-GB"/>
        </w:rPr>
        <w:t xml:space="preserve">The Department for Education measures the gap between the percentage of young people who were eligible for free school meals and those who were not eligible who attained a Level 2 qualification with English and Maths by age 19. The latest figure for 2017 shows that the gap has now dropped to 16.8% which is the lowest it has been for 9 years. </w:t>
      </w:r>
      <w:bookmarkStart w:id="13" w:name="_Apprenticeships"/>
      <w:bookmarkEnd w:id="13"/>
    </w:p>
    <w:p w:rsidR="00095A6E" w:rsidRDefault="00095A6E" w:rsidP="006A31AE">
      <w:pPr>
        <w:spacing w:after="200" w:line="276" w:lineRule="auto"/>
        <w:rPr>
          <w:rFonts w:ascii="Arial" w:eastAsia="Calibri" w:hAnsi="Arial" w:cs="Arial"/>
          <w:sz w:val="24"/>
          <w:szCs w:val="24"/>
          <w:lang w:eastAsia="en-GB"/>
        </w:rPr>
      </w:pPr>
    </w:p>
    <w:p w:rsidR="008A1DDD" w:rsidRPr="00142100" w:rsidRDefault="008A1DDD" w:rsidP="006A31AE">
      <w:pPr>
        <w:spacing w:after="200" w:line="276" w:lineRule="auto"/>
        <w:rPr>
          <w:rFonts w:ascii="Arial" w:eastAsia="Calibri" w:hAnsi="Arial" w:cs="Arial"/>
          <w:sz w:val="20"/>
          <w:szCs w:val="20"/>
          <w:lang w:eastAsia="en-GB"/>
        </w:rPr>
      </w:pPr>
    </w:p>
    <w:p w:rsidR="00267CB0" w:rsidRDefault="00267CB0" w:rsidP="006A31AE">
      <w:pPr>
        <w:spacing w:after="200" w:line="276" w:lineRule="auto"/>
        <w:rPr>
          <w:rFonts w:ascii="Arial" w:eastAsia="Calibri" w:hAnsi="Arial" w:cs="Arial"/>
          <w:color w:val="FF0000"/>
          <w:sz w:val="20"/>
          <w:szCs w:val="20"/>
          <w:lang w:eastAsia="en-GB"/>
        </w:rPr>
        <w:sectPr w:rsidR="00267CB0" w:rsidSect="006A31AE">
          <w:headerReference w:type="default" r:id="rId110"/>
          <w:footerReference w:type="default" r:id="rId111"/>
          <w:pgSz w:w="16838" w:h="11906" w:orient="landscape"/>
          <w:pgMar w:top="1560" w:right="1440" w:bottom="993" w:left="1440" w:header="142" w:footer="708" w:gutter="0"/>
          <w:cols w:num="2" w:space="708"/>
          <w:docGrid w:linePitch="360"/>
        </w:sectPr>
      </w:pPr>
    </w:p>
    <w:p w:rsidR="008A1DDD" w:rsidRDefault="008A1DDD" w:rsidP="006A31AE">
      <w:pPr>
        <w:spacing w:after="0" w:line="240" w:lineRule="auto"/>
        <w:rPr>
          <w:rFonts w:ascii="Arial" w:eastAsia="Times New Roman" w:hAnsi="Arial" w:cs="Arial"/>
          <w:b/>
          <w:bCs/>
          <w:color w:val="701471"/>
          <w:sz w:val="32"/>
          <w:szCs w:val="28"/>
          <w:lang w:eastAsia="en-GB"/>
        </w:rPr>
      </w:pPr>
    </w:p>
    <w:p w:rsidR="006A31AE" w:rsidRPr="006A31AE" w:rsidRDefault="006A31AE" w:rsidP="006A31AE">
      <w:pPr>
        <w:spacing w:after="0" w:line="240" w:lineRule="auto"/>
        <w:rPr>
          <w:rFonts w:ascii="Arial" w:eastAsia="Times New Roman" w:hAnsi="Arial" w:cs="Arial"/>
          <w:b/>
          <w:bCs/>
          <w:color w:val="701471"/>
          <w:sz w:val="32"/>
          <w:szCs w:val="28"/>
          <w:lang w:eastAsia="en-GB"/>
        </w:rPr>
      </w:pPr>
      <w:r w:rsidRPr="006A31AE">
        <w:rPr>
          <w:rFonts w:ascii="Arial" w:eastAsia="Times New Roman" w:hAnsi="Arial" w:cs="Arial"/>
          <w:b/>
          <w:bCs/>
          <w:noProof/>
          <w:color w:val="701471"/>
          <w:sz w:val="32"/>
          <w:szCs w:val="28"/>
          <w:lang w:eastAsia="en-GB"/>
        </w:rPr>
        <w:drawing>
          <wp:inline distT="0" distB="0" distL="0" distR="0" wp14:anchorId="767389AA" wp14:editId="4975475A">
            <wp:extent cx="538274" cy="666695"/>
            <wp:effectExtent l="19050" t="0" r="0" b="0"/>
            <wp:docPr id="2075" name="Picture 13"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47" cstate="print"/>
                    <a:stretch>
                      <a:fillRect/>
                    </a:stretch>
                  </pic:blipFill>
                  <pic:spPr>
                    <a:xfrm>
                      <a:off x="0" y="0"/>
                      <a:ext cx="538274" cy="666695"/>
                    </a:xfrm>
                    <a:prstGeom prst="rect">
                      <a:avLst/>
                    </a:prstGeom>
                  </pic:spPr>
                </pic:pic>
              </a:graphicData>
            </a:graphic>
          </wp:inline>
        </w:drawing>
      </w:r>
      <w:r w:rsidRPr="006A31AE">
        <w:rPr>
          <w:rFonts w:ascii="Arial" w:eastAsia="Times New Roman" w:hAnsi="Arial" w:cs="Arial"/>
          <w:b/>
          <w:bCs/>
          <w:color w:val="701471"/>
          <w:sz w:val="32"/>
          <w:szCs w:val="28"/>
          <w:lang w:eastAsia="en-GB"/>
        </w:rPr>
        <w:t xml:space="preserve"> </w:t>
      </w:r>
      <w:r w:rsidRPr="006A31AE">
        <w:rPr>
          <w:rFonts w:ascii="Arial" w:eastAsia="Times New Roman" w:hAnsi="Arial" w:cs="Arial"/>
          <w:b/>
          <w:bCs/>
          <w:color w:val="701471"/>
          <w:sz w:val="40"/>
          <w:szCs w:val="28"/>
          <w:lang w:eastAsia="en-GB"/>
        </w:rPr>
        <w:t>Economy</w:t>
      </w:r>
    </w:p>
    <w:p w:rsidR="006A31AE" w:rsidRPr="006A31AE" w:rsidRDefault="006A31AE" w:rsidP="006A31AE">
      <w:pPr>
        <w:spacing w:after="0" w:line="240" w:lineRule="auto"/>
        <w:rPr>
          <w:rFonts w:ascii="Arial" w:eastAsia="Times New Roman" w:hAnsi="Arial" w:cs="Arial"/>
          <w:bCs/>
          <w:color w:val="701471"/>
          <w:sz w:val="28"/>
          <w:szCs w:val="28"/>
          <w:lang w:eastAsia="en-GB"/>
        </w:rPr>
      </w:pPr>
      <w:r w:rsidRPr="006A31AE">
        <w:rPr>
          <w:rFonts w:ascii="Arial" w:eastAsia="Times New Roman" w:hAnsi="Arial" w:cs="Arial"/>
          <w:bCs/>
          <w:noProof/>
          <w:color w:val="701471"/>
          <w:sz w:val="28"/>
          <w:szCs w:val="28"/>
          <w:lang w:eastAsia="en-GB"/>
        </w:rPr>
        <mc:AlternateContent>
          <mc:Choice Requires="wps">
            <w:drawing>
              <wp:anchor distT="0" distB="0" distL="114300" distR="114300" simplePos="0" relativeHeight="251694080" behindDoc="0" locked="0" layoutInCell="1" allowOverlap="1" wp14:anchorId="333F26A1" wp14:editId="18B9CDA6">
                <wp:simplePos x="0" y="0"/>
                <wp:positionH relativeFrom="column">
                  <wp:posOffset>-30480</wp:posOffset>
                </wp:positionH>
                <wp:positionV relativeFrom="paragraph">
                  <wp:posOffset>123190</wp:posOffset>
                </wp:positionV>
                <wp:extent cx="3911600" cy="4155440"/>
                <wp:effectExtent l="0" t="0" r="12700" b="16510"/>
                <wp:wrapNone/>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1600" cy="4155440"/>
                        </a:xfrm>
                        <a:prstGeom prst="rect">
                          <a:avLst/>
                        </a:prstGeom>
                        <a:solidFill>
                          <a:srgbClr val="FFFFFF"/>
                        </a:solidFill>
                        <a:ln w="9525">
                          <a:solidFill>
                            <a:srgbClr val="000000"/>
                          </a:solidFill>
                          <a:miter lim="800000"/>
                          <a:headEnd/>
                          <a:tailEnd/>
                        </a:ln>
                      </wps:spPr>
                      <wps:txbx>
                        <w:txbxContent>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Areas of progress</w:t>
                            </w:r>
                          </w:p>
                          <w:p w:rsidR="00721450" w:rsidRPr="006C1B2B" w:rsidRDefault="00721450" w:rsidP="006A31AE">
                            <w:pPr>
                              <w:spacing w:after="0" w:line="240" w:lineRule="auto"/>
                              <w:rPr>
                                <w:rFonts w:eastAsia="Times New Roman"/>
                                <w:bCs/>
                                <w:color w:val="701471"/>
                                <w:sz w:val="28"/>
                                <w:szCs w:val="28"/>
                                <w:lang w:eastAsia="en-GB"/>
                              </w:rPr>
                            </w:pPr>
                          </w:p>
                          <w:p w:rsidR="00721450" w:rsidRPr="00671076" w:rsidRDefault="00721450" w:rsidP="006A31AE">
                            <w:pPr>
                              <w:pStyle w:val="ListParagraph"/>
                              <w:numPr>
                                <w:ilvl w:val="0"/>
                                <w:numId w:val="1"/>
                              </w:numPr>
                              <w:spacing w:after="0" w:line="240" w:lineRule="auto"/>
                              <w:rPr>
                                <w:rFonts w:eastAsia="Times New Roman"/>
                                <w:bCs/>
                                <w:lang w:eastAsia="en-GB"/>
                              </w:rPr>
                            </w:pPr>
                            <w:r w:rsidRPr="00671076">
                              <w:rPr>
                                <w:rFonts w:eastAsia="Times New Roman"/>
                                <w:bCs/>
                                <w:lang w:eastAsia="en-GB"/>
                              </w:rPr>
                              <w:t>The number of businesses continues to grow.</w:t>
                            </w:r>
                          </w:p>
                          <w:p w:rsidR="00721450" w:rsidRPr="00EE3DEA" w:rsidRDefault="00721450" w:rsidP="006A31AE">
                            <w:pPr>
                              <w:pStyle w:val="ListParagraph"/>
                              <w:numPr>
                                <w:ilvl w:val="0"/>
                                <w:numId w:val="1"/>
                              </w:numPr>
                              <w:spacing w:after="0" w:line="240" w:lineRule="auto"/>
                              <w:rPr>
                                <w:rFonts w:eastAsia="Times New Roman"/>
                                <w:bCs/>
                                <w:lang w:eastAsia="en-GB"/>
                              </w:rPr>
                            </w:pPr>
                            <w:r w:rsidRPr="00671076">
                              <w:rPr>
                                <w:rFonts w:eastAsia="Times New Roman"/>
                                <w:bCs/>
                                <w:lang w:eastAsia="en-GB"/>
                              </w:rPr>
                              <w:t xml:space="preserve">The proportion of out of work claimants has </w:t>
                            </w:r>
                            <w:r w:rsidRPr="00EE3DEA">
                              <w:rPr>
                                <w:rFonts w:eastAsia="Times New Roman"/>
                                <w:bCs/>
                                <w:lang w:eastAsia="en-GB"/>
                              </w:rPr>
                              <w:t xml:space="preserve">been going down every year </w:t>
                            </w:r>
                            <w:r>
                              <w:rPr>
                                <w:rFonts w:eastAsia="Times New Roman"/>
                                <w:bCs/>
                                <w:lang w:eastAsia="en-GB"/>
                              </w:rPr>
                              <w:t>for the last 5 years.</w:t>
                            </w:r>
                          </w:p>
                          <w:p w:rsidR="00721450" w:rsidRDefault="00721450" w:rsidP="006A31AE">
                            <w:pPr>
                              <w:spacing w:after="0" w:line="240" w:lineRule="auto"/>
                              <w:rPr>
                                <w:rFonts w:eastAsia="Times New Roman"/>
                                <w:bCs/>
                                <w:color w:val="006600"/>
                                <w:sz w:val="28"/>
                                <w:szCs w:val="28"/>
                                <w:lang w:eastAsia="en-GB"/>
                              </w:rPr>
                            </w:pPr>
                          </w:p>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Challenges</w:t>
                            </w:r>
                          </w:p>
                          <w:p w:rsidR="00721450" w:rsidRPr="006C1B2B" w:rsidRDefault="00721450" w:rsidP="006A31AE">
                            <w:pPr>
                              <w:spacing w:after="0" w:line="240" w:lineRule="auto"/>
                              <w:rPr>
                                <w:rFonts w:eastAsia="Times New Roman"/>
                                <w:bCs/>
                                <w:color w:val="701471"/>
                                <w:sz w:val="28"/>
                                <w:szCs w:val="28"/>
                                <w:lang w:eastAsia="en-GB"/>
                              </w:rPr>
                            </w:pPr>
                          </w:p>
                          <w:p w:rsidR="00721450" w:rsidRPr="00671076" w:rsidRDefault="00721450" w:rsidP="006A31AE">
                            <w:pPr>
                              <w:pStyle w:val="ListParagraph"/>
                              <w:numPr>
                                <w:ilvl w:val="0"/>
                                <w:numId w:val="2"/>
                              </w:numPr>
                            </w:pPr>
                            <w:r w:rsidRPr="00671076">
                              <w:t>The job density in Croydon remains low.</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3F26A1" id="_x0000_s1084" type="#_x0000_t202" style="position:absolute;margin-left:-2.4pt;margin-top:9.7pt;width:308pt;height:327.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">
                <v:textbox>
                  <w:txbxContent>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Areas of progress</w:t>
                      </w:r>
                    </w:p>
                    <w:p w:rsidR="00721450" w:rsidRPr="006C1B2B" w:rsidRDefault="00721450" w:rsidP="006A31AE">
                      <w:pPr>
                        <w:spacing w:after="0" w:line="240" w:lineRule="auto"/>
                        <w:rPr>
                          <w:rFonts w:eastAsia="Times New Roman"/>
                          <w:bCs/>
                          <w:color w:val="701471"/>
                          <w:sz w:val="28"/>
                          <w:szCs w:val="28"/>
                          <w:lang w:eastAsia="en-GB"/>
                        </w:rPr>
                      </w:pPr>
                    </w:p>
                    <w:p w:rsidR="00721450" w:rsidRPr="00671076" w:rsidRDefault="00721450" w:rsidP="006A31AE">
                      <w:pPr>
                        <w:pStyle w:val="ListParagraph"/>
                        <w:numPr>
                          <w:ilvl w:val="0"/>
                          <w:numId w:val="1"/>
                        </w:numPr>
                        <w:spacing w:after="0" w:line="240" w:lineRule="auto"/>
                        <w:rPr>
                          <w:rFonts w:eastAsia="Times New Roman"/>
                          <w:bCs/>
                          <w:lang w:eastAsia="en-GB"/>
                        </w:rPr>
                      </w:pPr>
                      <w:r w:rsidRPr="00671076">
                        <w:rPr>
                          <w:rFonts w:eastAsia="Times New Roman"/>
                          <w:bCs/>
                          <w:lang w:eastAsia="en-GB"/>
                        </w:rPr>
                        <w:t>The number of businesses continues to grow.</w:t>
                      </w:r>
                    </w:p>
                    <w:p w:rsidR="00721450" w:rsidRPr="00EE3DEA" w:rsidRDefault="00721450" w:rsidP="006A31AE">
                      <w:pPr>
                        <w:pStyle w:val="ListParagraph"/>
                        <w:numPr>
                          <w:ilvl w:val="0"/>
                          <w:numId w:val="1"/>
                        </w:numPr>
                        <w:spacing w:after="0" w:line="240" w:lineRule="auto"/>
                        <w:rPr>
                          <w:rFonts w:eastAsia="Times New Roman"/>
                          <w:bCs/>
                          <w:lang w:eastAsia="en-GB"/>
                        </w:rPr>
                      </w:pPr>
                      <w:r w:rsidRPr="00671076">
                        <w:rPr>
                          <w:rFonts w:eastAsia="Times New Roman"/>
                          <w:bCs/>
                          <w:lang w:eastAsia="en-GB"/>
                        </w:rPr>
                        <w:t xml:space="preserve">The proportion of out of work claimants has </w:t>
                      </w:r>
                      <w:r w:rsidRPr="00EE3DEA">
                        <w:rPr>
                          <w:rFonts w:eastAsia="Times New Roman"/>
                          <w:bCs/>
                          <w:lang w:eastAsia="en-GB"/>
                        </w:rPr>
                        <w:t xml:space="preserve">been going down every year </w:t>
                      </w:r>
                      <w:r>
                        <w:rPr>
                          <w:rFonts w:eastAsia="Times New Roman"/>
                          <w:bCs/>
                          <w:lang w:eastAsia="en-GB"/>
                        </w:rPr>
                        <w:t>for the last 5 years.</w:t>
                      </w:r>
                    </w:p>
                    <w:p w:rsidR="00721450" w:rsidRDefault="00721450" w:rsidP="006A31AE">
                      <w:pPr>
                        <w:spacing w:after="0" w:line="240" w:lineRule="auto"/>
                        <w:rPr>
                          <w:rFonts w:eastAsia="Times New Roman"/>
                          <w:bCs/>
                          <w:color w:val="006600"/>
                          <w:sz w:val="28"/>
                          <w:szCs w:val="28"/>
                          <w:lang w:eastAsia="en-GB"/>
                        </w:rPr>
                      </w:pPr>
                    </w:p>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Challenges</w:t>
                      </w:r>
                    </w:p>
                    <w:p w:rsidR="00721450" w:rsidRPr="006C1B2B" w:rsidRDefault="00721450" w:rsidP="006A31AE">
                      <w:pPr>
                        <w:spacing w:after="0" w:line="240" w:lineRule="auto"/>
                        <w:rPr>
                          <w:rFonts w:eastAsia="Times New Roman"/>
                          <w:bCs/>
                          <w:color w:val="701471"/>
                          <w:sz w:val="28"/>
                          <w:szCs w:val="28"/>
                          <w:lang w:eastAsia="en-GB"/>
                        </w:rPr>
                      </w:pPr>
                    </w:p>
                    <w:p w:rsidR="00721450" w:rsidRPr="00671076" w:rsidRDefault="00721450" w:rsidP="006A31AE">
                      <w:pPr>
                        <w:pStyle w:val="ListParagraph"/>
                        <w:numPr>
                          <w:ilvl w:val="0"/>
                          <w:numId w:val="2"/>
                        </w:numPr>
                      </w:pPr>
                      <w:r w:rsidRPr="00671076">
                        <w:t>The job density in Croydon remains low.</w:t>
                      </w:r>
                    </w:p>
                  </w:txbxContent>
                </v:textbox>
              </v:shape>
            </w:pict>
          </mc:Fallback>
        </mc:AlternateContent>
      </w:r>
    </w:p>
    <w:p w:rsidR="006A31AE" w:rsidRPr="006A31AE" w:rsidRDefault="006A31AE" w:rsidP="006A31AE">
      <w:pPr>
        <w:spacing w:after="0" w:line="240" w:lineRule="auto"/>
        <w:rPr>
          <w:rFonts w:ascii="Arial" w:eastAsia="Times New Roman" w:hAnsi="Arial" w:cs="Arial"/>
          <w:bCs/>
          <w:color w:val="701471"/>
          <w:sz w:val="28"/>
          <w:szCs w:val="28"/>
          <w:lang w:eastAsia="en-GB"/>
        </w:rPr>
      </w:pPr>
    </w:p>
    <w:p w:rsidR="006A31AE" w:rsidRPr="006A31AE" w:rsidRDefault="006A31AE" w:rsidP="006A31AE">
      <w:pPr>
        <w:spacing w:after="0" w:line="240" w:lineRule="auto"/>
        <w:rPr>
          <w:rFonts w:ascii="Arial" w:eastAsia="Times New Roman" w:hAnsi="Arial" w:cs="Arial"/>
          <w:bCs/>
          <w:color w:val="006600"/>
          <w:sz w:val="28"/>
          <w:szCs w:val="28"/>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Default="006A31AE" w:rsidP="006A31AE">
      <w:pPr>
        <w:spacing w:after="0" w:line="240" w:lineRule="auto"/>
        <w:rPr>
          <w:rFonts w:ascii="Arial" w:eastAsia="Times New Roman" w:hAnsi="Arial" w:cs="Arial"/>
          <w:bCs/>
          <w:color w:val="000000"/>
          <w:sz w:val="24"/>
          <w:szCs w:val="24"/>
          <w:lang w:eastAsia="en-GB"/>
        </w:rPr>
      </w:pPr>
    </w:p>
    <w:p w:rsidR="006941EA" w:rsidRPr="006A31AE" w:rsidRDefault="006941EA"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Overview</w:t>
      </w:r>
    </w:p>
    <w:p w:rsidR="006A31AE" w:rsidRPr="006A31AE" w:rsidRDefault="006A31AE"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This section provides a brief overview of the economy in Croydon looking at:</w:t>
      </w:r>
    </w:p>
    <w:p w:rsidR="006A31AE" w:rsidRPr="006A31AE" w:rsidRDefault="006A31AE" w:rsidP="006A31AE">
      <w:pPr>
        <w:numPr>
          <w:ilvl w:val="0"/>
          <w:numId w:val="5"/>
        </w:numPr>
        <w:spacing w:after="0" w:line="240" w:lineRule="auto"/>
        <w:contextualSpacing/>
        <w:rPr>
          <w:rFonts w:ascii="Arial" w:eastAsia="Times New Roman" w:hAnsi="Arial" w:cs="Arial"/>
          <w:bCs/>
          <w:color w:val="0000FF"/>
          <w:sz w:val="24"/>
          <w:szCs w:val="24"/>
          <w:u w:val="single"/>
          <w:lang w:eastAsia="en-GB"/>
        </w:rPr>
      </w:pPr>
      <w:r w:rsidRPr="006A31AE">
        <w:rPr>
          <w:rFonts w:ascii="Arial" w:eastAsia="Times New Roman" w:hAnsi="Arial" w:cs="Arial"/>
          <w:bCs/>
          <w:sz w:val="24"/>
          <w:szCs w:val="24"/>
          <w:lang w:eastAsia="en-GB"/>
        </w:rPr>
        <w:fldChar w:fldCharType="begin"/>
      </w:r>
      <w:r w:rsidRPr="006A31AE">
        <w:rPr>
          <w:rFonts w:ascii="Arial" w:eastAsia="Times New Roman" w:hAnsi="Arial" w:cs="Arial"/>
          <w:bCs/>
          <w:sz w:val="24"/>
          <w:szCs w:val="24"/>
          <w:lang w:eastAsia="en-GB"/>
        </w:rPr>
        <w:instrText xml:space="preserve"> HYPERLINK  \l "_Businesses" </w:instrText>
      </w:r>
      <w:r w:rsidRPr="006A31AE">
        <w:rPr>
          <w:rFonts w:ascii="Arial" w:eastAsia="Times New Roman" w:hAnsi="Arial" w:cs="Arial"/>
          <w:bCs/>
          <w:sz w:val="24"/>
          <w:szCs w:val="24"/>
          <w:lang w:eastAsia="en-GB"/>
        </w:rPr>
        <w:fldChar w:fldCharType="separate"/>
      </w:r>
      <w:r w:rsidRPr="006A31AE">
        <w:rPr>
          <w:rFonts w:ascii="Arial" w:eastAsia="Times New Roman" w:hAnsi="Arial" w:cs="Arial"/>
          <w:bCs/>
          <w:color w:val="0000FF"/>
          <w:sz w:val="24"/>
          <w:szCs w:val="24"/>
          <w:u w:val="single"/>
          <w:lang w:eastAsia="en-GB"/>
        </w:rPr>
        <w:t>Businesses</w:t>
      </w:r>
    </w:p>
    <w:p w:rsidR="006A31AE" w:rsidRPr="006A31AE" w:rsidRDefault="006A31AE" w:rsidP="006A31AE">
      <w:pPr>
        <w:numPr>
          <w:ilvl w:val="0"/>
          <w:numId w:val="5"/>
        </w:numPr>
        <w:spacing w:after="0" w:line="240" w:lineRule="auto"/>
        <w:contextualSpacing/>
        <w:rPr>
          <w:rFonts w:ascii="Arial" w:eastAsia="Times New Roman" w:hAnsi="Arial" w:cs="Arial"/>
          <w:bCs/>
          <w:sz w:val="24"/>
          <w:szCs w:val="24"/>
          <w:lang w:eastAsia="en-GB"/>
        </w:rPr>
      </w:pPr>
      <w:r w:rsidRPr="006A31AE">
        <w:rPr>
          <w:rFonts w:ascii="Arial" w:eastAsia="Times New Roman" w:hAnsi="Arial" w:cs="Arial"/>
          <w:bCs/>
          <w:sz w:val="24"/>
          <w:szCs w:val="24"/>
          <w:lang w:eastAsia="en-GB"/>
        </w:rPr>
        <w:fldChar w:fldCharType="end"/>
      </w:r>
      <w:hyperlink w:anchor="_Employment" w:history="1">
        <w:r w:rsidRPr="006A31AE">
          <w:rPr>
            <w:rFonts w:ascii="Arial" w:eastAsia="Times New Roman" w:hAnsi="Arial" w:cs="Arial"/>
            <w:bCs/>
            <w:color w:val="0000FF"/>
            <w:sz w:val="24"/>
            <w:szCs w:val="24"/>
            <w:u w:val="single"/>
            <w:lang w:eastAsia="en-GB"/>
          </w:rPr>
          <w:t>Employment</w:t>
        </w:r>
      </w:hyperlink>
    </w:p>
    <w:p w:rsidR="006A31AE" w:rsidRPr="008F22A2"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People_out_of" w:history="1">
        <w:r w:rsidR="006A31AE" w:rsidRPr="006A31AE">
          <w:rPr>
            <w:rFonts w:ascii="Arial" w:eastAsia="Times New Roman" w:hAnsi="Arial" w:cs="Arial"/>
            <w:bCs/>
            <w:color w:val="0000FF"/>
            <w:sz w:val="24"/>
            <w:szCs w:val="24"/>
            <w:u w:val="single"/>
            <w:lang w:eastAsia="en-GB"/>
          </w:rPr>
          <w:t>People out of work</w:t>
        </w:r>
      </w:hyperlink>
    </w:p>
    <w:p w:rsidR="008F22A2" w:rsidRPr="008F22A2" w:rsidRDefault="008F22A2" w:rsidP="006A31AE">
      <w:pPr>
        <w:numPr>
          <w:ilvl w:val="0"/>
          <w:numId w:val="5"/>
        </w:numPr>
        <w:spacing w:after="0" w:line="240" w:lineRule="auto"/>
        <w:contextualSpacing/>
        <w:rPr>
          <w:rFonts w:ascii="Arial" w:eastAsia="Times New Roman" w:hAnsi="Arial" w:cs="Arial"/>
          <w:bCs/>
          <w:sz w:val="24"/>
          <w:szCs w:val="24"/>
          <w:lang w:eastAsia="en-GB"/>
        </w:rPr>
      </w:pPr>
      <w:r>
        <w:rPr>
          <w:rFonts w:ascii="Arial" w:eastAsia="Times New Roman" w:hAnsi="Arial" w:cs="Arial"/>
          <w:bCs/>
          <w:color w:val="0000FF"/>
          <w:sz w:val="24"/>
          <w:szCs w:val="24"/>
          <w:u w:val="single"/>
          <w:lang w:eastAsia="en-GB"/>
        </w:rPr>
        <w:t>Apprenticeships</w:t>
      </w:r>
    </w:p>
    <w:p w:rsidR="008F22A2" w:rsidRPr="006A31AE" w:rsidRDefault="008F22A2" w:rsidP="006A31AE">
      <w:pPr>
        <w:numPr>
          <w:ilvl w:val="0"/>
          <w:numId w:val="5"/>
        </w:numPr>
        <w:spacing w:after="0" w:line="240" w:lineRule="auto"/>
        <w:contextualSpacing/>
        <w:rPr>
          <w:rFonts w:ascii="Arial" w:eastAsia="Times New Roman" w:hAnsi="Arial" w:cs="Arial"/>
          <w:bCs/>
          <w:sz w:val="24"/>
          <w:szCs w:val="24"/>
          <w:lang w:eastAsia="en-GB"/>
        </w:rPr>
      </w:pPr>
      <w:r>
        <w:rPr>
          <w:rFonts w:ascii="Arial" w:eastAsia="Times New Roman" w:hAnsi="Arial" w:cs="Arial"/>
          <w:bCs/>
          <w:color w:val="0000FF"/>
          <w:sz w:val="24"/>
          <w:szCs w:val="24"/>
          <w:u w:val="single"/>
          <w:lang w:eastAsia="en-GB"/>
        </w:rPr>
        <w:t>Skill levels of adults</w:t>
      </w:r>
    </w:p>
    <w:p w:rsidR="006A31AE" w:rsidRDefault="006A31AE" w:rsidP="006A31AE">
      <w:pPr>
        <w:spacing w:after="0" w:line="240" w:lineRule="auto"/>
        <w:rPr>
          <w:rFonts w:ascii="Arial" w:eastAsia="Times New Roman" w:hAnsi="Arial" w:cs="Arial"/>
          <w:bCs/>
          <w:sz w:val="24"/>
          <w:szCs w:val="24"/>
          <w:lang w:eastAsia="en-GB"/>
        </w:rPr>
      </w:pPr>
    </w:p>
    <w:p w:rsidR="008F22A2" w:rsidRDefault="008F22A2" w:rsidP="006A31AE">
      <w:pPr>
        <w:spacing w:after="0" w:line="240" w:lineRule="auto"/>
        <w:rPr>
          <w:rFonts w:ascii="Arial" w:eastAsia="Times New Roman" w:hAnsi="Arial" w:cs="Arial"/>
          <w:bCs/>
          <w:sz w:val="24"/>
          <w:szCs w:val="24"/>
          <w:lang w:eastAsia="en-GB"/>
        </w:rPr>
      </w:pPr>
    </w:p>
    <w:p w:rsidR="008F22A2" w:rsidRDefault="008F22A2" w:rsidP="006A31AE">
      <w:pPr>
        <w:spacing w:after="0" w:line="240" w:lineRule="auto"/>
        <w:rPr>
          <w:rFonts w:ascii="Arial" w:eastAsia="Times New Roman" w:hAnsi="Arial" w:cs="Arial"/>
          <w:bCs/>
          <w:sz w:val="24"/>
          <w:szCs w:val="24"/>
          <w:lang w:eastAsia="en-GB"/>
        </w:rPr>
      </w:pPr>
    </w:p>
    <w:p w:rsidR="008F22A2" w:rsidRDefault="008F22A2" w:rsidP="006A31AE">
      <w:pPr>
        <w:spacing w:after="0" w:line="240" w:lineRule="auto"/>
        <w:rPr>
          <w:rFonts w:ascii="Arial" w:eastAsia="Times New Roman" w:hAnsi="Arial" w:cs="Arial"/>
          <w:bCs/>
          <w:sz w:val="24"/>
          <w:szCs w:val="24"/>
          <w:lang w:eastAsia="en-GB"/>
        </w:rPr>
      </w:pPr>
    </w:p>
    <w:p w:rsidR="008F22A2" w:rsidRPr="006A31AE" w:rsidRDefault="008F22A2"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Businesses</w:t>
      </w:r>
    </w:p>
    <w:p w:rsidR="006A31AE" w:rsidRPr="006A31AE" w:rsidRDefault="006A31AE" w:rsidP="006A31AE">
      <w:pPr>
        <w:spacing w:after="0" w:line="240" w:lineRule="auto"/>
        <w:rPr>
          <w:rFonts w:ascii="Arial" w:eastAsia="Times New Roman" w:hAnsi="Arial" w:cs="Arial"/>
          <w:b/>
          <w:bCs/>
          <w:color w:val="701471"/>
          <w:sz w:val="28"/>
          <w:szCs w:val="24"/>
          <w:lang w:eastAsia="en-GB"/>
        </w:rPr>
      </w:pPr>
    </w:p>
    <w:p w:rsidR="006941EA"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As at March 2018, there were 14,675 enterprises comprising 16,615 local units in Croydon.</w:t>
      </w:r>
      <w:r w:rsidRPr="006A31AE">
        <w:rPr>
          <w:rFonts w:ascii="Arial" w:eastAsia="Calibri" w:hAnsi="Arial" w:cs="Arial"/>
          <w:sz w:val="24"/>
          <w:szCs w:val="24"/>
          <w:vertAlign w:val="superscript"/>
          <w:lang w:eastAsia="en-GB"/>
        </w:rPr>
        <w:footnoteReference w:id="4"/>
      </w:r>
      <w:r w:rsidRPr="006A31AE">
        <w:rPr>
          <w:rFonts w:ascii="Arial" w:eastAsia="Calibri" w:hAnsi="Arial" w:cs="Arial"/>
          <w:sz w:val="24"/>
          <w:szCs w:val="24"/>
          <w:lang w:eastAsia="en-GB"/>
        </w:rPr>
        <w:t xml:space="preserve">  This number of enterprises is down by 1% on the previous year and signifies the first slight reduction during a 7 year period when annual increases have been the norm.</w:t>
      </w:r>
      <w:r w:rsidR="006941EA">
        <w:rPr>
          <w:rFonts w:ascii="Arial" w:eastAsia="Calibri" w:hAnsi="Arial" w:cs="Arial"/>
          <w:sz w:val="24"/>
          <w:szCs w:val="24"/>
          <w:lang w:eastAsia="en-GB"/>
        </w:rPr>
        <w:t xml:space="preserve">  There were only 35 of these enterprises (0.24%) that employed in excess of 250 people. The majority (84%) were enterprises employing </w:t>
      </w:r>
      <w:r w:rsidR="00017900">
        <w:rPr>
          <w:rFonts w:ascii="Arial" w:eastAsia="Calibri" w:hAnsi="Arial" w:cs="Arial"/>
          <w:sz w:val="24"/>
          <w:szCs w:val="24"/>
          <w:lang w:eastAsia="en-GB"/>
        </w:rPr>
        <w:t xml:space="preserve">only </w:t>
      </w:r>
      <w:r w:rsidR="006941EA">
        <w:rPr>
          <w:rFonts w:ascii="Arial" w:eastAsia="Calibri" w:hAnsi="Arial" w:cs="Arial"/>
          <w:sz w:val="24"/>
          <w:szCs w:val="24"/>
          <w:lang w:eastAsia="en-GB"/>
        </w:rPr>
        <w:t>0-4 people.</w:t>
      </w:r>
    </w:p>
    <w:p w:rsidR="0066029F" w:rsidRDefault="0066029F" w:rsidP="0066029F">
      <w:pPr>
        <w:spacing w:after="0" w:line="240" w:lineRule="auto"/>
        <w:rPr>
          <w:rFonts w:ascii="Arial" w:eastAsia="Calibri" w:hAnsi="Arial" w:cs="Arial"/>
          <w:sz w:val="24"/>
          <w:szCs w:val="24"/>
          <w:lang w:eastAsia="en-GB"/>
        </w:rPr>
      </w:pPr>
    </w:p>
    <w:p w:rsidR="00425EDE" w:rsidRPr="00CF1193" w:rsidRDefault="00425EDE" w:rsidP="0066029F">
      <w:pPr>
        <w:spacing w:after="0" w:line="240" w:lineRule="auto"/>
        <w:rPr>
          <w:rFonts w:ascii="Arial" w:eastAsia="Calibri" w:hAnsi="Arial" w:cs="Arial"/>
          <w:sz w:val="24"/>
          <w:szCs w:val="24"/>
          <w:lang w:eastAsia="en-GB"/>
        </w:rPr>
      </w:pPr>
      <w:r w:rsidRPr="00FF5A7C">
        <w:rPr>
          <w:rFonts w:ascii="Arial" w:eastAsia="Calibri" w:hAnsi="Arial" w:cs="Arial"/>
          <w:sz w:val="24"/>
          <w:szCs w:val="24"/>
          <w:lang w:eastAsia="en-GB"/>
        </w:rPr>
        <w:t xml:space="preserve">The 5 top industries for Croydon, based on the employment by the enterprise units are </w:t>
      </w:r>
      <w:r w:rsidR="00FF5A7C" w:rsidRPr="00FF5A7C">
        <w:rPr>
          <w:rFonts w:ascii="Arial" w:eastAsia="Calibri" w:hAnsi="Arial" w:cs="Arial"/>
          <w:sz w:val="24"/>
          <w:szCs w:val="24"/>
          <w:lang w:eastAsia="en-GB"/>
        </w:rPr>
        <w:t>(i) P</w:t>
      </w:r>
      <w:r w:rsidRPr="00FF5A7C">
        <w:rPr>
          <w:rFonts w:ascii="Arial" w:eastAsia="Calibri" w:hAnsi="Arial" w:cs="Arial"/>
          <w:sz w:val="24"/>
          <w:szCs w:val="24"/>
          <w:lang w:eastAsia="en-GB"/>
        </w:rPr>
        <w:t xml:space="preserve">rofessional, scientific &amp; technical, </w:t>
      </w:r>
      <w:r w:rsidR="00FF5A7C" w:rsidRPr="00FF5A7C">
        <w:rPr>
          <w:rFonts w:ascii="Arial" w:eastAsia="Calibri" w:hAnsi="Arial" w:cs="Arial"/>
          <w:sz w:val="24"/>
          <w:szCs w:val="24"/>
          <w:lang w:eastAsia="en-GB"/>
        </w:rPr>
        <w:t>(ii) Construction, (iii) Information &amp; communications, (iv) Retail and (v) Business administration &amp; support services</w:t>
      </w:r>
      <w:r w:rsidRPr="00FF5A7C">
        <w:rPr>
          <w:rFonts w:ascii="Arial" w:eastAsia="Calibri" w:hAnsi="Arial" w:cs="Arial"/>
          <w:sz w:val="24"/>
          <w:szCs w:val="24"/>
          <w:lang w:eastAsia="en-GB"/>
        </w:rPr>
        <w:t xml:space="preserve">, as figure 1 shows. </w:t>
      </w:r>
    </w:p>
    <w:p w:rsidR="00425EDE" w:rsidRDefault="00425EDE" w:rsidP="0066029F">
      <w:pPr>
        <w:spacing w:after="0" w:line="240" w:lineRule="auto"/>
        <w:rPr>
          <w:rFonts w:ascii="Arial" w:eastAsia="Calibri" w:hAnsi="Arial" w:cs="Arial"/>
          <w:sz w:val="24"/>
          <w:szCs w:val="24"/>
          <w:lang w:eastAsia="en-GB"/>
        </w:rPr>
      </w:pPr>
    </w:p>
    <w:p w:rsidR="0066029F" w:rsidRPr="00CF1193" w:rsidRDefault="0066029F" w:rsidP="0066029F">
      <w:pPr>
        <w:spacing w:after="0" w:line="240" w:lineRule="auto"/>
        <w:rPr>
          <w:rFonts w:ascii="Arial" w:eastAsia="Calibri" w:hAnsi="Arial" w:cs="Arial"/>
          <w:sz w:val="24"/>
          <w:szCs w:val="24"/>
          <w:lang w:eastAsia="en-GB"/>
        </w:rPr>
      </w:pPr>
    </w:p>
    <w:p w:rsidR="00425EDE" w:rsidRPr="0066029F" w:rsidRDefault="00425EDE" w:rsidP="0066029F">
      <w:pPr>
        <w:spacing w:after="200" w:line="276" w:lineRule="auto"/>
        <w:rPr>
          <w:rFonts w:ascii="Arial" w:eastAsia="Calibri" w:hAnsi="Arial" w:cs="Arial"/>
          <w:sz w:val="24"/>
          <w:szCs w:val="24"/>
          <w:u w:val="single"/>
          <w:lang w:eastAsia="en-GB"/>
        </w:rPr>
      </w:pPr>
      <w:r w:rsidRPr="00051F32">
        <w:rPr>
          <w:rFonts w:ascii="Arial" w:eastAsia="Calibri" w:hAnsi="Arial" w:cs="Arial"/>
          <w:sz w:val="24"/>
          <w:szCs w:val="24"/>
          <w:u w:val="single"/>
          <w:lang w:eastAsia="en-GB"/>
        </w:rPr>
        <w:t xml:space="preserve">Figure 1 – Enterprises by industry </w:t>
      </w:r>
      <w:r w:rsidR="00051F32" w:rsidRPr="00051F32">
        <w:rPr>
          <w:rFonts w:ascii="Arial" w:eastAsia="Calibri" w:hAnsi="Arial" w:cs="Arial"/>
          <w:sz w:val="24"/>
          <w:szCs w:val="24"/>
          <w:u w:val="single"/>
          <w:lang w:eastAsia="en-GB"/>
        </w:rPr>
        <w:t xml:space="preserve">in Croydon, </w:t>
      </w:r>
      <w:r w:rsidRPr="00051F32">
        <w:rPr>
          <w:rFonts w:ascii="Arial" w:eastAsia="Calibri" w:hAnsi="Arial" w:cs="Arial"/>
          <w:sz w:val="24"/>
          <w:szCs w:val="24"/>
          <w:u w:val="single"/>
          <w:lang w:eastAsia="en-GB"/>
        </w:rPr>
        <w:t>20</w:t>
      </w:r>
      <w:r w:rsidR="004C2686">
        <w:rPr>
          <w:rFonts w:ascii="Arial" w:eastAsia="Calibri" w:hAnsi="Arial" w:cs="Arial"/>
          <w:sz w:val="24"/>
          <w:szCs w:val="24"/>
          <w:u w:val="single"/>
          <w:lang w:eastAsia="en-GB"/>
        </w:rPr>
        <w:t>18</w:t>
      </w:r>
      <w:r w:rsidR="004C2686" w:rsidRPr="00051F32">
        <w:rPr>
          <w:noProof/>
          <w:lang w:eastAsia="en-GB"/>
        </w:rPr>
        <w:drawing>
          <wp:inline distT="0" distB="0" distL="0" distR="0" wp14:anchorId="6F519593" wp14:editId="27E42370">
            <wp:extent cx="4206875" cy="2372995"/>
            <wp:effectExtent l="0" t="0" r="3175" b="8255"/>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r w:rsidRPr="00600C44">
        <w:rPr>
          <w:rFonts w:ascii="Arial" w:eastAsia="Calibri" w:hAnsi="Arial" w:cs="Arial"/>
          <w:sz w:val="20"/>
          <w:szCs w:val="20"/>
          <w:lang w:eastAsia="en-GB"/>
        </w:rPr>
        <w:t xml:space="preserve">Source: ONS UK Business </w:t>
      </w:r>
      <w:r w:rsidR="00FF5A7C" w:rsidRPr="00600C44">
        <w:rPr>
          <w:rFonts w:ascii="Arial" w:eastAsia="Calibri" w:hAnsi="Arial" w:cs="Arial"/>
          <w:sz w:val="20"/>
          <w:szCs w:val="20"/>
          <w:lang w:eastAsia="en-GB"/>
        </w:rPr>
        <w:t>Demog</w:t>
      </w:r>
      <w:r w:rsidR="00051F32" w:rsidRPr="00600C44">
        <w:rPr>
          <w:rFonts w:ascii="Arial" w:eastAsia="Calibri" w:hAnsi="Arial" w:cs="Arial"/>
          <w:sz w:val="20"/>
          <w:szCs w:val="20"/>
          <w:lang w:eastAsia="en-GB"/>
        </w:rPr>
        <w:t>r</w:t>
      </w:r>
      <w:r w:rsidR="00FF5A7C" w:rsidRPr="00600C44">
        <w:rPr>
          <w:rFonts w:ascii="Arial" w:eastAsia="Calibri" w:hAnsi="Arial" w:cs="Arial"/>
          <w:sz w:val="20"/>
          <w:szCs w:val="20"/>
          <w:lang w:eastAsia="en-GB"/>
        </w:rPr>
        <w:t>aphy, Table 1</w:t>
      </w:r>
      <w:r w:rsidR="00051F32" w:rsidRPr="00600C44">
        <w:rPr>
          <w:rFonts w:ascii="Arial" w:eastAsia="Calibri" w:hAnsi="Arial" w:cs="Arial"/>
          <w:sz w:val="20"/>
          <w:szCs w:val="20"/>
          <w:lang w:eastAsia="en-GB"/>
        </w:rPr>
        <w:t>6</w:t>
      </w:r>
    </w:p>
    <w:p w:rsidR="00425EDE" w:rsidRPr="00671076" w:rsidRDefault="00425EDE" w:rsidP="006A31AE">
      <w:pPr>
        <w:spacing w:after="200" w:line="276" w:lineRule="auto"/>
        <w:rPr>
          <w:rFonts w:ascii="Arial" w:eastAsia="Calibri" w:hAnsi="Arial" w:cs="Arial"/>
          <w:sz w:val="24"/>
          <w:szCs w:val="24"/>
          <w:lang w:eastAsia="en-GB"/>
        </w:rPr>
      </w:pPr>
    </w:p>
    <w:p w:rsidR="006941EA" w:rsidRPr="00671076" w:rsidRDefault="00FF5A7C" w:rsidP="006A31AE">
      <w:pPr>
        <w:spacing w:after="200" w:line="276" w:lineRule="auto"/>
        <w:rPr>
          <w:rFonts w:ascii="Arial" w:eastAsia="Calibri" w:hAnsi="Arial" w:cs="Arial"/>
          <w:sz w:val="24"/>
          <w:szCs w:val="24"/>
          <w:lang w:eastAsia="en-GB"/>
        </w:rPr>
      </w:pPr>
      <w:r w:rsidRPr="00671076">
        <w:rPr>
          <w:rFonts w:ascii="Arial" w:eastAsia="Calibri" w:hAnsi="Arial" w:cs="Arial"/>
          <w:sz w:val="24"/>
          <w:szCs w:val="24"/>
          <w:lang w:eastAsia="en-GB"/>
        </w:rPr>
        <w:t>T</w:t>
      </w:r>
      <w:r w:rsidR="006A31AE" w:rsidRPr="00671076">
        <w:rPr>
          <w:rFonts w:ascii="Arial" w:eastAsia="Calibri" w:hAnsi="Arial" w:cs="Arial"/>
          <w:sz w:val="24"/>
          <w:szCs w:val="24"/>
          <w:lang w:eastAsia="en-GB"/>
        </w:rPr>
        <w:t xml:space="preserve">he number of business births in Croydon continues to grow year on year. In 2012 there were 1,765 new enterprises, in 2016 this increased to 2,905. Over the same period the number of business deaths fluctuated slightly more. In 2012 there were 1,580 business deaths, rising to 2,065 in 2016. </w:t>
      </w:r>
    </w:p>
    <w:p w:rsidR="0066029F" w:rsidRDefault="0066029F" w:rsidP="006A31AE">
      <w:pPr>
        <w:spacing w:after="200" w:line="276" w:lineRule="auto"/>
        <w:rPr>
          <w:rFonts w:ascii="Arial" w:eastAsia="Calibri" w:hAnsi="Arial" w:cs="Arial"/>
          <w:sz w:val="24"/>
          <w:szCs w:val="24"/>
          <w:lang w:eastAsia="en-GB"/>
        </w:rPr>
      </w:pPr>
    </w:p>
    <w:p w:rsidR="006A31AE" w:rsidRPr="00671076" w:rsidRDefault="006A31AE" w:rsidP="006A31AE">
      <w:pPr>
        <w:spacing w:after="200" w:line="276" w:lineRule="auto"/>
        <w:rPr>
          <w:rFonts w:ascii="Arial" w:eastAsia="Calibri" w:hAnsi="Arial" w:cs="Arial"/>
          <w:sz w:val="24"/>
          <w:szCs w:val="24"/>
          <w:lang w:eastAsia="en-GB"/>
        </w:rPr>
      </w:pPr>
      <w:r w:rsidRPr="00671076">
        <w:rPr>
          <w:rFonts w:ascii="Arial" w:eastAsia="Calibri" w:hAnsi="Arial" w:cs="Arial"/>
          <w:sz w:val="24"/>
          <w:szCs w:val="24"/>
          <w:lang w:eastAsia="en-GB"/>
        </w:rPr>
        <w:t>The overall number of active enterprises increased every year from 13,020 in 2012 to 16,855 in 2016.</w:t>
      </w:r>
    </w:p>
    <w:p w:rsidR="006A31AE" w:rsidRPr="00671076" w:rsidRDefault="006A31AE" w:rsidP="006A31AE">
      <w:pPr>
        <w:spacing w:after="200" w:line="276" w:lineRule="auto"/>
        <w:rPr>
          <w:rFonts w:ascii="Arial" w:eastAsia="Calibri" w:hAnsi="Arial" w:cs="Arial"/>
          <w:sz w:val="24"/>
          <w:szCs w:val="24"/>
          <w:lang w:eastAsia="en-GB"/>
        </w:rPr>
      </w:pPr>
      <w:r w:rsidRPr="00671076">
        <w:rPr>
          <w:rFonts w:ascii="Arial" w:eastAsia="Calibri" w:hAnsi="Arial" w:cs="Arial"/>
          <w:sz w:val="24"/>
          <w:szCs w:val="24"/>
          <w:lang w:eastAsia="en-GB"/>
        </w:rPr>
        <w:t>The proportion of businesses that were started in 2015 that were still active in 2016 was 92.4% in Croydon. This compares with the 86.4% London average for businesses that survived their first year from 2015.</w:t>
      </w:r>
    </w:p>
    <w:p w:rsidR="006A31AE" w:rsidRPr="00671076" w:rsidRDefault="006A31AE" w:rsidP="006A31AE">
      <w:pPr>
        <w:spacing w:after="200" w:line="276" w:lineRule="auto"/>
        <w:rPr>
          <w:rFonts w:ascii="Arial" w:eastAsia="Calibri" w:hAnsi="Arial" w:cs="Arial"/>
          <w:sz w:val="24"/>
          <w:szCs w:val="24"/>
          <w:lang w:eastAsia="en-GB"/>
        </w:rPr>
      </w:pPr>
      <w:r w:rsidRPr="00671076">
        <w:rPr>
          <w:rFonts w:ascii="Arial" w:eastAsia="Calibri" w:hAnsi="Arial" w:cs="Arial"/>
          <w:sz w:val="24"/>
          <w:szCs w:val="24"/>
          <w:lang w:eastAsia="en-GB"/>
        </w:rPr>
        <w:t>Table 1 shows that the survival rates of businesses born in 2012 were higher in Croydon than in London with Croydon rates being more similar to the averages for England up to the 3 year survival period.</w:t>
      </w:r>
    </w:p>
    <w:p w:rsidR="006941EA" w:rsidRPr="00671076" w:rsidRDefault="006941EA" w:rsidP="006A31AE">
      <w:pPr>
        <w:spacing w:after="200" w:line="276" w:lineRule="auto"/>
        <w:rPr>
          <w:rFonts w:ascii="Arial" w:eastAsia="Calibri" w:hAnsi="Arial" w:cs="Arial"/>
          <w:sz w:val="24"/>
          <w:szCs w:val="24"/>
          <w:lang w:eastAsia="en-GB"/>
        </w:rPr>
      </w:pPr>
    </w:p>
    <w:p w:rsidR="006A31AE" w:rsidRPr="00671076" w:rsidRDefault="006A31AE" w:rsidP="006A31AE">
      <w:pPr>
        <w:spacing w:after="200" w:line="276" w:lineRule="auto"/>
        <w:rPr>
          <w:rFonts w:ascii="Arial" w:eastAsia="Calibri" w:hAnsi="Arial" w:cs="Arial"/>
          <w:sz w:val="24"/>
          <w:szCs w:val="24"/>
          <w:u w:val="single"/>
          <w:lang w:eastAsia="en-GB"/>
        </w:rPr>
      </w:pPr>
      <w:r w:rsidRPr="00671076">
        <w:rPr>
          <w:rFonts w:ascii="Arial" w:eastAsia="Calibri" w:hAnsi="Arial" w:cs="Arial"/>
          <w:sz w:val="24"/>
          <w:szCs w:val="24"/>
          <w:u w:val="single"/>
          <w:lang w:eastAsia="en-GB"/>
        </w:rPr>
        <w:t>Table 1 – Survival rates of enterprises born in 2012</w:t>
      </w:r>
    </w:p>
    <w:tbl>
      <w:tblPr>
        <w:tblW w:w="6413" w:type="dxa"/>
        <w:tblInd w:w="9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1124"/>
        <w:gridCol w:w="1320"/>
        <w:gridCol w:w="1417"/>
        <w:gridCol w:w="1276"/>
        <w:gridCol w:w="1276"/>
      </w:tblGrid>
      <w:tr w:rsidR="006A31AE" w:rsidRPr="00671076" w:rsidTr="006A31AE">
        <w:trPr>
          <w:trHeight w:val="300"/>
        </w:trPr>
        <w:tc>
          <w:tcPr>
            <w:tcW w:w="1124" w:type="dxa"/>
            <w:tcBorders>
              <w:top w:val="single" w:sz="12" w:space="0" w:color="auto"/>
              <w:bottom w:val="single" w:sz="12" w:space="0" w:color="auto"/>
              <w:right w:val="single" w:sz="12" w:space="0" w:color="auto"/>
            </w:tcBorders>
            <w:shd w:val="clear" w:color="auto" w:fill="auto"/>
            <w:noWrap/>
            <w:hideMark/>
          </w:tcPr>
          <w:p w:rsidR="006A31AE" w:rsidRPr="00671076" w:rsidRDefault="006A31AE" w:rsidP="006A31AE">
            <w:pPr>
              <w:spacing w:after="0" w:line="240" w:lineRule="auto"/>
              <w:rPr>
                <w:rFonts w:ascii="Arial" w:eastAsia="Times New Roman" w:hAnsi="Arial" w:cs="Arial"/>
                <w:sz w:val="24"/>
                <w:lang w:eastAsia="en-GB"/>
              </w:rPr>
            </w:pPr>
          </w:p>
        </w:tc>
        <w:tc>
          <w:tcPr>
            <w:tcW w:w="1320" w:type="dxa"/>
            <w:tcBorders>
              <w:top w:val="single" w:sz="12" w:space="0" w:color="auto"/>
              <w:left w:val="single" w:sz="12" w:space="0" w:color="auto"/>
              <w:bottom w:val="single" w:sz="12" w:space="0" w:color="auto"/>
            </w:tcBorders>
            <w:shd w:val="clear" w:color="auto" w:fill="auto"/>
            <w:noWrap/>
            <w:hideMark/>
          </w:tcPr>
          <w:p w:rsidR="006A31AE" w:rsidRPr="00671076" w:rsidRDefault="006A31AE" w:rsidP="006A31AE">
            <w:pPr>
              <w:spacing w:after="0" w:line="240" w:lineRule="auto"/>
              <w:rPr>
                <w:rFonts w:ascii="Arial" w:eastAsia="Times New Roman" w:hAnsi="Arial" w:cs="Arial"/>
                <w:sz w:val="24"/>
                <w:lang w:eastAsia="en-GB"/>
              </w:rPr>
            </w:pPr>
            <w:r w:rsidRPr="00671076">
              <w:rPr>
                <w:rFonts w:ascii="Arial" w:eastAsia="Calibri" w:hAnsi="Arial" w:cs="Arial"/>
                <w:sz w:val="24"/>
                <w:szCs w:val="24"/>
              </w:rPr>
              <w:t>1 Year Survival Rate</w:t>
            </w:r>
          </w:p>
        </w:tc>
        <w:tc>
          <w:tcPr>
            <w:tcW w:w="1417" w:type="dxa"/>
            <w:tcBorders>
              <w:top w:val="single" w:sz="12" w:space="0" w:color="auto"/>
              <w:bottom w:val="single" w:sz="12" w:space="0" w:color="auto"/>
            </w:tcBorders>
            <w:shd w:val="clear" w:color="auto" w:fill="auto"/>
            <w:noWrap/>
            <w:hideMark/>
          </w:tcPr>
          <w:p w:rsidR="006A31AE" w:rsidRPr="00671076" w:rsidRDefault="006A31AE" w:rsidP="006A31AE">
            <w:pPr>
              <w:spacing w:after="0" w:line="240" w:lineRule="auto"/>
              <w:rPr>
                <w:rFonts w:ascii="Arial" w:eastAsia="Times New Roman" w:hAnsi="Arial" w:cs="Arial"/>
                <w:sz w:val="24"/>
                <w:lang w:eastAsia="en-GB"/>
              </w:rPr>
            </w:pPr>
            <w:r w:rsidRPr="00671076">
              <w:rPr>
                <w:rFonts w:ascii="Arial" w:eastAsia="Calibri" w:hAnsi="Arial" w:cs="Arial"/>
                <w:sz w:val="24"/>
                <w:szCs w:val="24"/>
              </w:rPr>
              <w:t>2 Year Survival Rate</w:t>
            </w:r>
          </w:p>
        </w:tc>
        <w:tc>
          <w:tcPr>
            <w:tcW w:w="1276" w:type="dxa"/>
            <w:tcBorders>
              <w:top w:val="single" w:sz="12" w:space="0" w:color="auto"/>
              <w:bottom w:val="single" w:sz="12" w:space="0" w:color="auto"/>
            </w:tcBorders>
            <w:shd w:val="clear" w:color="auto" w:fill="auto"/>
            <w:noWrap/>
            <w:hideMark/>
          </w:tcPr>
          <w:p w:rsidR="006A31AE" w:rsidRPr="00671076" w:rsidRDefault="006A31AE" w:rsidP="006A31AE">
            <w:pPr>
              <w:spacing w:after="0" w:line="240" w:lineRule="auto"/>
              <w:rPr>
                <w:rFonts w:ascii="Arial" w:eastAsia="Times New Roman" w:hAnsi="Arial" w:cs="Arial"/>
                <w:sz w:val="24"/>
                <w:lang w:eastAsia="en-GB"/>
              </w:rPr>
            </w:pPr>
            <w:r w:rsidRPr="00671076">
              <w:rPr>
                <w:rFonts w:ascii="Arial" w:eastAsia="Calibri" w:hAnsi="Arial" w:cs="Arial"/>
                <w:sz w:val="24"/>
                <w:szCs w:val="24"/>
              </w:rPr>
              <w:t>3 Year Survival Rate</w:t>
            </w:r>
          </w:p>
        </w:tc>
        <w:tc>
          <w:tcPr>
            <w:tcW w:w="1276" w:type="dxa"/>
            <w:tcBorders>
              <w:top w:val="single" w:sz="12" w:space="0" w:color="auto"/>
              <w:bottom w:val="single" w:sz="12" w:space="0" w:color="auto"/>
            </w:tcBorders>
            <w:shd w:val="clear" w:color="auto" w:fill="auto"/>
            <w:noWrap/>
            <w:hideMark/>
          </w:tcPr>
          <w:p w:rsidR="006A31AE" w:rsidRPr="00671076" w:rsidRDefault="006A31AE" w:rsidP="006A31AE">
            <w:pPr>
              <w:spacing w:after="0" w:line="240" w:lineRule="auto"/>
              <w:rPr>
                <w:rFonts w:ascii="Arial" w:eastAsia="Times New Roman" w:hAnsi="Arial" w:cs="Arial"/>
                <w:sz w:val="24"/>
                <w:lang w:eastAsia="en-GB"/>
              </w:rPr>
            </w:pPr>
            <w:r w:rsidRPr="00671076">
              <w:rPr>
                <w:rFonts w:ascii="Arial" w:eastAsia="Calibri" w:hAnsi="Arial" w:cs="Arial"/>
                <w:sz w:val="24"/>
                <w:szCs w:val="24"/>
              </w:rPr>
              <w:t>4 Year Survival Rate</w:t>
            </w:r>
          </w:p>
        </w:tc>
      </w:tr>
      <w:tr w:rsidR="006A31AE" w:rsidRPr="00671076" w:rsidTr="006A31AE">
        <w:trPr>
          <w:trHeight w:val="300"/>
        </w:trPr>
        <w:tc>
          <w:tcPr>
            <w:tcW w:w="1124" w:type="dxa"/>
            <w:tcBorders>
              <w:top w:val="single" w:sz="12" w:space="0" w:color="auto"/>
              <w:bottom w:val="single" w:sz="4" w:space="0" w:color="auto"/>
              <w:right w:val="single" w:sz="12" w:space="0" w:color="auto"/>
            </w:tcBorders>
            <w:shd w:val="clear" w:color="auto" w:fill="auto"/>
            <w:noWrap/>
            <w:hideMark/>
          </w:tcPr>
          <w:p w:rsidR="006A31AE" w:rsidRPr="00671076" w:rsidRDefault="006A31AE" w:rsidP="006A31AE">
            <w:pPr>
              <w:spacing w:after="0" w:line="240" w:lineRule="auto"/>
              <w:rPr>
                <w:rFonts w:ascii="Arial" w:eastAsia="Times New Roman" w:hAnsi="Arial" w:cs="Arial"/>
                <w:sz w:val="24"/>
                <w:lang w:eastAsia="en-GB"/>
              </w:rPr>
            </w:pPr>
            <w:r w:rsidRPr="00671076">
              <w:rPr>
                <w:rFonts w:ascii="Arial" w:eastAsia="Calibri" w:hAnsi="Arial" w:cs="Arial"/>
                <w:sz w:val="24"/>
                <w:szCs w:val="24"/>
              </w:rPr>
              <w:t>Croydon</w:t>
            </w:r>
          </w:p>
        </w:tc>
        <w:tc>
          <w:tcPr>
            <w:tcW w:w="1320" w:type="dxa"/>
            <w:tcBorders>
              <w:top w:val="single" w:sz="12" w:space="0" w:color="auto"/>
              <w:left w:val="single" w:sz="12" w:space="0" w:color="auto"/>
            </w:tcBorders>
            <w:shd w:val="clear" w:color="auto" w:fill="auto"/>
            <w:noWrap/>
            <w:hideMark/>
          </w:tcPr>
          <w:p w:rsidR="006A31AE" w:rsidRPr="00671076" w:rsidRDefault="006A31AE" w:rsidP="006A31AE">
            <w:pPr>
              <w:spacing w:after="0" w:line="240" w:lineRule="auto"/>
              <w:jc w:val="right"/>
              <w:rPr>
                <w:rFonts w:ascii="Arial" w:eastAsia="Times New Roman" w:hAnsi="Arial" w:cs="Arial"/>
                <w:sz w:val="24"/>
                <w:lang w:eastAsia="en-GB"/>
              </w:rPr>
            </w:pPr>
            <w:r w:rsidRPr="00671076">
              <w:rPr>
                <w:rFonts w:ascii="Arial" w:eastAsia="Calibri" w:hAnsi="Arial" w:cs="Arial"/>
                <w:sz w:val="24"/>
                <w:szCs w:val="24"/>
              </w:rPr>
              <w:t>93.20%</w:t>
            </w:r>
          </w:p>
        </w:tc>
        <w:tc>
          <w:tcPr>
            <w:tcW w:w="1417" w:type="dxa"/>
            <w:tcBorders>
              <w:top w:val="single" w:sz="12" w:space="0" w:color="auto"/>
            </w:tcBorders>
            <w:shd w:val="clear" w:color="auto" w:fill="auto"/>
            <w:noWrap/>
            <w:hideMark/>
          </w:tcPr>
          <w:p w:rsidR="006A31AE" w:rsidRPr="00671076" w:rsidRDefault="006A31AE" w:rsidP="006A31AE">
            <w:pPr>
              <w:spacing w:after="0" w:line="240" w:lineRule="auto"/>
              <w:jc w:val="right"/>
              <w:rPr>
                <w:rFonts w:ascii="Arial" w:eastAsia="Times New Roman" w:hAnsi="Arial" w:cs="Arial"/>
                <w:sz w:val="24"/>
                <w:lang w:eastAsia="en-GB"/>
              </w:rPr>
            </w:pPr>
            <w:r w:rsidRPr="00671076">
              <w:rPr>
                <w:rFonts w:ascii="Arial" w:eastAsia="Calibri" w:hAnsi="Arial" w:cs="Arial"/>
                <w:sz w:val="24"/>
                <w:szCs w:val="24"/>
              </w:rPr>
              <w:t>73.70%</w:t>
            </w:r>
          </w:p>
        </w:tc>
        <w:tc>
          <w:tcPr>
            <w:tcW w:w="1276" w:type="dxa"/>
            <w:tcBorders>
              <w:top w:val="single" w:sz="12" w:space="0" w:color="auto"/>
            </w:tcBorders>
            <w:shd w:val="clear" w:color="auto" w:fill="auto"/>
            <w:noWrap/>
            <w:hideMark/>
          </w:tcPr>
          <w:p w:rsidR="006A31AE" w:rsidRPr="00671076" w:rsidRDefault="006A31AE" w:rsidP="006A31AE">
            <w:pPr>
              <w:spacing w:after="0" w:line="240" w:lineRule="auto"/>
              <w:jc w:val="right"/>
              <w:rPr>
                <w:rFonts w:ascii="Arial" w:eastAsia="Times New Roman" w:hAnsi="Arial" w:cs="Arial"/>
                <w:sz w:val="24"/>
                <w:lang w:eastAsia="en-GB"/>
              </w:rPr>
            </w:pPr>
            <w:r w:rsidRPr="00671076">
              <w:rPr>
                <w:rFonts w:ascii="Arial" w:eastAsia="Calibri" w:hAnsi="Arial" w:cs="Arial"/>
                <w:sz w:val="24"/>
                <w:szCs w:val="24"/>
              </w:rPr>
              <w:t>58.40%</w:t>
            </w:r>
          </w:p>
        </w:tc>
        <w:tc>
          <w:tcPr>
            <w:tcW w:w="1276" w:type="dxa"/>
            <w:tcBorders>
              <w:top w:val="single" w:sz="12" w:space="0" w:color="auto"/>
            </w:tcBorders>
            <w:shd w:val="clear" w:color="auto" w:fill="auto"/>
            <w:noWrap/>
            <w:hideMark/>
          </w:tcPr>
          <w:p w:rsidR="006A31AE" w:rsidRPr="00671076" w:rsidRDefault="006A31AE" w:rsidP="006A31AE">
            <w:pPr>
              <w:spacing w:after="0" w:line="240" w:lineRule="auto"/>
              <w:jc w:val="right"/>
              <w:rPr>
                <w:rFonts w:ascii="Arial" w:eastAsia="Times New Roman" w:hAnsi="Arial" w:cs="Arial"/>
                <w:sz w:val="24"/>
                <w:lang w:eastAsia="en-GB"/>
              </w:rPr>
            </w:pPr>
            <w:r w:rsidRPr="00671076">
              <w:rPr>
                <w:rFonts w:ascii="Arial" w:eastAsia="Calibri" w:hAnsi="Arial" w:cs="Arial"/>
                <w:sz w:val="24"/>
                <w:szCs w:val="24"/>
              </w:rPr>
              <w:t>46.74%</w:t>
            </w:r>
          </w:p>
        </w:tc>
      </w:tr>
      <w:tr w:rsidR="006A31AE" w:rsidRPr="00671076" w:rsidTr="006A31AE">
        <w:trPr>
          <w:trHeight w:val="300"/>
        </w:trPr>
        <w:tc>
          <w:tcPr>
            <w:tcW w:w="1124" w:type="dxa"/>
            <w:tcBorders>
              <w:top w:val="single" w:sz="4" w:space="0" w:color="auto"/>
              <w:bottom w:val="single" w:sz="4" w:space="0" w:color="auto"/>
              <w:right w:val="single" w:sz="12" w:space="0" w:color="auto"/>
            </w:tcBorders>
            <w:shd w:val="clear" w:color="auto" w:fill="auto"/>
            <w:noWrap/>
            <w:hideMark/>
          </w:tcPr>
          <w:p w:rsidR="006A31AE" w:rsidRPr="00671076" w:rsidRDefault="006A31AE" w:rsidP="006A31AE">
            <w:pPr>
              <w:spacing w:after="0" w:line="240" w:lineRule="auto"/>
              <w:rPr>
                <w:rFonts w:ascii="Arial" w:eastAsia="Times New Roman" w:hAnsi="Arial" w:cs="Arial"/>
                <w:sz w:val="24"/>
                <w:lang w:eastAsia="en-GB"/>
              </w:rPr>
            </w:pPr>
            <w:r w:rsidRPr="00671076">
              <w:rPr>
                <w:rFonts w:ascii="Arial" w:eastAsia="Calibri" w:hAnsi="Arial" w:cs="Arial"/>
                <w:sz w:val="24"/>
                <w:szCs w:val="24"/>
              </w:rPr>
              <w:t>London</w:t>
            </w:r>
          </w:p>
        </w:tc>
        <w:tc>
          <w:tcPr>
            <w:tcW w:w="1320" w:type="dxa"/>
            <w:tcBorders>
              <w:left w:val="single" w:sz="12" w:space="0" w:color="auto"/>
            </w:tcBorders>
            <w:shd w:val="clear" w:color="auto" w:fill="auto"/>
            <w:noWrap/>
            <w:hideMark/>
          </w:tcPr>
          <w:p w:rsidR="006A31AE" w:rsidRPr="00671076" w:rsidRDefault="006A31AE" w:rsidP="006A31AE">
            <w:pPr>
              <w:spacing w:after="0" w:line="240" w:lineRule="auto"/>
              <w:jc w:val="right"/>
              <w:rPr>
                <w:rFonts w:ascii="Arial" w:eastAsia="Times New Roman" w:hAnsi="Arial" w:cs="Arial"/>
                <w:sz w:val="24"/>
                <w:lang w:eastAsia="en-GB"/>
              </w:rPr>
            </w:pPr>
            <w:r w:rsidRPr="00671076">
              <w:rPr>
                <w:rFonts w:ascii="Arial" w:eastAsia="Calibri" w:hAnsi="Arial" w:cs="Arial"/>
                <w:sz w:val="24"/>
                <w:szCs w:val="24"/>
              </w:rPr>
              <w:t>89.70%</w:t>
            </w:r>
          </w:p>
        </w:tc>
        <w:tc>
          <w:tcPr>
            <w:tcW w:w="1417" w:type="dxa"/>
            <w:shd w:val="clear" w:color="auto" w:fill="auto"/>
            <w:noWrap/>
            <w:hideMark/>
          </w:tcPr>
          <w:p w:rsidR="006A31AE" w:rsidRPr="00671076" w:rsidRDefault="006A31AE" w:rsidP="006A31AE">
            <w:pPr>
              <w:spacing w:after="0" w:line="240" w:lineRule="auto"/>
              <w:jc w:val="right"/>
              <w:rPr>
                <w:rFonts w:ascii="Arial" w:eastAsia="Times New Roman" w:hAnsi="Arial" w:cs="Arial"/>
                <w:sz w:val="24"/>
                <w:lang w:eastAsia="en-GB"/>
              </w:rPr>
            </w:pPr>
            <w:r w:rsidRPr="00671076">
              <w:rPr>
                <w:rFonts w:ascii="Arial" w:eastAsia="Calibri" w:hAnsi="Arial" w:cs="Arial"/>
                <w:sz w:val="24"/>
                <w:szCs w:val="24"/>
              </w:rPr>
              <w:t>70.80%</w:t>
            </w:r>
          </w:p>
        </w:tc>
        <w:tc>
          <w:tcPr>
            <w:tcW w:w="1276" w:type="dxa"/>
            <w:shd w:val="clear" w:color="auto" w:fill="auto"/>
            <w:noWrap/>
            <w:hideMark/>
          </w:tcPr>
          <w:p w:rsidR="006A31AE" w:rsidRPr="00671076" w:rsidRDefault="006A31AE" w:rsidP="006A31AE">
            <w:pPr>
              <w:spacing w:after="0" w:line="240" w:lineRule="auto"/>
              <w:jc w:val="right"/>
              <w:rPr>
                <w:rFonts w:ascii="Arial" w:eastAsia="Times New Roman" w:hAnsi="Arial" w:cs="Arial"/>
                <w:sz w:val="24"/>
                <w:lang w:eastAsia="en-GB"/>
              </w:rPr>
            </w:pPr>
            <w:r w:rsidRPr="00671076">
              <w:rPr>
                <w:rFonts w:ascii="Arial" w:eastAsia="Calibri" w:hAnsi="Arial" w:cs="Arial"/>
                <w:sz w:val="24"/>
                <w:szCs w:val="24"/>
              </w:rPr>
              <w:t>55.40%</w:t>
            </w:r>
          </w:p>
        </w:tc>
        <w:tc>
          <w:tcPr>
            <w:tcW w:w="1276" w:type="dxa"/>
            <w:shd w:val="clear" w:color="auto" w:fill="auto"/>
            <w:noWrap/>
            <w:hideMark/>
          </w:tcPr>
          <w:p w:rsidR="006A31AE" w:rsidRPr="00671076" w:rsidRDefault="006A31AE" w:rsidP="006A31AE">
            <w:pPr>
              <w:spacing w:after="0" w:line="240" w:lineRule="auto"/>
              <w:jc w:val="right"/>
              <w:rPr>
                <w:rFonts w:ascii="Arial" w:eastAsia="Times New Roman" w:hAnsi="Arial" w:cs="Arial"/>
                <w:sz w:val="24"/>
                <w:lang w:eastAsia="en-GB"/>
              </w:rPr>
            </w:pPr>
            <w:r w:rsidRPr="00671076">
              <w:rPr>
                <w:rFonts w:ascii="Arial" w:eastAsia="Calibri" w:hAnsi="Arial" w:cs="Arial"/>
                <w:sz w:val="24"/>
                <w:szCs w:val="24"/>
              </w:rPr>
              <w:t>46.46%</w:t>
            </w:r>
          </w:p>
        </w:tc>
      </w:tr>
      <w:tr w:rsidR="006A31AE" w:rsidRPr="00671076" w:rsidTr="006A31AE">
        <w:trPr>
          <w:trHeight w:val="300"/>
        </w:trPr>
        <w:tc>
          <w:tcPr>
            <w:tcW w:w="1124" w:type="dxa"/>
            <w:tcBorders>
              <w:top w:val="single" w:sz="4" w:space="0" w:color="auto"/>
              <w:bottom w:val="single" w:sz="12" w:space="0" w:color="auto"/>
              <w:right w:val="single" w:sz="12" w:space="0" w:color="auto"/>
            </w:tcBorders>
            <w:shd w:val="clear" w:color="auto" w:fill="auto"/>
            <w:noWrap/>
            <w:hideMark/>
          </w:tcPr>
          <w:p w:rsidR="006A31AE" w:rsidRPr="00671076" w:rsidRDefault="006A31AE" w:rsidP="006A31AE">
            <w:pPr>
              <w:spacing w:after="0" w:line="240" w:lineRule="auto"/>
              <w:rPr>
                <w:rFonts w:ascii="Arial" w:eastAsia="Times New Roman" w:hAnsi="Arial" w:cs="Arial"/>
                <w:sz w:val="24"/>
                <w:lang w:eastAsia="en-GB"/>
              </w:rPr>
            </w:pPr>
            <w:r w:rsidRPr="00671076">
              <w:rPr>
                <w:rFonts w:ascii="Arial" w:eastAsia="Calibri" w:hAnsi="Arial" w:cs="Arial"/>
                <w:sz w:val="24"/>
                <w:szCs w:val="24"/>
              </w:rPr>
              <w:t>England</w:t>
            </w:r>
          </w:p>
        </w:tc>
        <w:tc>
          <w:tcPr>
            <w:tcW w:w="1320" w:type="dxa"/>
            <w:tcBorders>
              <w:left w:val="single" w:sz="12" w:space="0" w:color="auto"/>
            </w:tcBorders>
            <w:shd w:val="clear" w:color="auto" w:fill="auto"/>
            <w:noWrap/>
            <w:hideMark/>
          </w:tcPr>
          <w:p w:rsidR="006A31AE" w:rsidRPr="00671076" w:rsidRDefault="006A31AE" w:rsidP="006A31AE">
            <w:pPr>
              <w:spacing w:after="0" w:line="240" w:lineRule="auto"/>
              <w:jc w:val="right"/>
              <w:rPr>
                <w:rFonts w:ascii="Arial" w:eastAsia="Times New Roman" w:hAnsi="Arial" w:cs="Arial"/>
                <w:sz w:val="24"/>
                <w:lang w:eastAsia="en-GB"/>
              </w:rPr>
            </w:pPr>
            <w:r w:rsidRPr="00671076">
              <w:rPr>
                <w:rFonts w:ascii="Arial" w:eastAsia="Calibri" w:hAnsi="Arial" w:cs="Arial"/>
                <w:sz w:val="24"/>
                <w:szCs w:val="24"/>
              </w:rPr>
              <w:t>91.10%</w:t>
            </w:r>
          </w:p>
        </w:tc>
        <w:tc>
          <w:tcPr>
            <w:tcW w:w="1417" w:type="dxa"/>
            <w:shd w:val="clear" w:color="auto" w:fill="auto"/>
            <w:noWrap/>
            <w:hideMark/>
          </w:tcPr>
          <w:p w:rsidR="006A31AE" w:rsidRPr="00671076" w:rsidRDefault="006A31AE" w:rsidP="006A31AE">
            <w:pPr>
              <w:spacing w:after="0" w:line="240" w:lineRule="auto"/>
              <w:jc w:val="right"/>
              <w:rPr>
                <w:rFonts w:ascii="Arial" w:eastAsia="Times New Roman" w:hAnsi="Arial" w:cs="Arial"/>
                <w:sz w:val="24"/>
                <w:lang w:eastAsia="en-GB"/>
              </w:rPr>
            </w:pPr>
            <w:r w:rsidRPr="00671076">
              <w:rPr>
                <w:rFonts w:ascii="Arial" w:eastAsia="Calibri" w:hAnsi="Arial" w:cs="Arial"/>
                <w:sz w:val="24"/>
                <w:szCs w:val="24"/>
              </w:rPr>
              <w:t>73.70%</w:t>
            </w:r>
          </w:p>
        </w:tc>
        <w:tc>
          <w:tcPr>
            <w:tcW w:w="1276" w:type="dxa"/>
            <w:shd w:val="clear" w:color="auto" w:fill="auto"/>
            <w:noWrap/>
            <w:hideMark/>
          </w:tcPr>
          <w:p w:rsidR="006A31AE" w:rsidRPr="00671076" w:rsidRDefault="006A31AE" w:rsidP="006A31AE">
            <w:pPr>
              <w:spacing w:after="0" w:line="240" w:lineRule="auto"/>
              <w:jc w:val="right"/>
              <w:rPr>
                <w:rFonts w:ascii="Arial" w:eastAsia="Times New Roman" w:hAnsi="Arial" w:cs="Arial"/>
                <w:sz w:val="24"/>
                <w:lang w:eastAsia="en-GB"/>
              </w:rPr>
            </w:pPr>
            <w:r w:rsidRPr="00671076">
              <w:rPr>
                <w:rFonts w:ascii="Arial" w:eastAsia="Calibri" w:hAnsi="Arial" w:cs="Arial"/>
                <w:sz w:val="24"/>
                <w:szCs w:val="24"/>
              </w:rPr>
              <w:t>59.20%</w:t>
            </w:r>
          </w:p>
        </w:tc>
        <w:tc>
          <w:tcPr>
            <w:tcW w:w="1276" w:type="dxa"/>
            <w:shd w:val="clear" w:color="auto" w:fill="auto"/>
            <w:noWrap/>
            <w:hideMark/>
          </w:tcPr>
          <w:p w:rsidR="006A31AE" w:rsidRPr="00671076" w:rsidRDefault="006A31AE" w:rsidP="006A31AE">
            <w:pPr>
              <w:spacing w:after="0" w:line="240" w:lineRule="auto"/>
              <w:jc w:val="right"/>
              <w:rPr>
                <w:rFonts w:ascii="Arial" w:eastAsia="Times New Roman" w:hAnsi="Arial" w:cs="Arial"/>
                <w:sz w:val="24"/>
                <w:lang w:eastAsia="en-GB"/>
              </w:rPr>
            </w:pPr>
            <w:r w:rsidRPr="00671076">
              <w:rPr>
                <w:rFonts w:ascii="Arial" w:eastAsia="Calibri" w:hAnsi="Arial" w:cs="Arial"/>
                <w:sz w:val="24"/>
                <w:szCs w:val="24"/>
              </w:rPr>
              <w:t>50.21%</w:t>
            </w:r>
          </w:p>
        </w:tc>
      </w:tr>
    </w:tbl>
    <w:p w:rsidR="006A31AE" w:rsidRPr="00671076" w:rsidRDefault="006A31AE" w:rsidP="006A31AE">
      <w:pPr>
        <w:spacing w:after="200" w:line="276" w:lineRule="auto"/>
        <w:rPr>
          <w:rFonts w:ascii="Arial" w:eastAsia="Calibri" w:hAnsi="Arial" w:cs="Arial"/>
          <w:sz w:val="20"/>
          <w:szCs w:val="20"/>
          <w:lang w:eastAsia="en-GB"/>
        </w:rPr>
      </w:pPr>
      <w:r w:rsidRPr="00671076">
        <w:rPr>
          <w:rFonts w:ascii="Arial" w:eastAsia="Calibri" w:hAnsi="Arial" w:cs="Arial"/>
          <w:sz w:val="20"/>
          <w:szCs w:val="20"/>
          <w:lang w:eastAsia="en-GB"/>
        </w:rPr>
        <w:t>Source: ONS Business Demography, released Nov.2017.</w:t>
      </w:r>
    </w:p>
    <w:p w:rsidR="006A31AE" w:rsidRPr="00671076" w:rsidRDefault="006A31AE" w:rsidP="006A31AE">
      <w:pPr>
        <w:spacing w:after="200" w:line="276" w:lineRule="auto"/>
        <w:rPr>
          <w:rFonts w:ascii="Arial" w:eastAsia="Calibri" w:hAnsi="Arial" w:cs="Arial"/>
          <w:sz w:val="24"/>
          <w:szCs w:val="24"/>
          <w:lang w:eastAsia="en-GB"/>
        </w:rPr>
      </w:pPr>
      <w:r w:rsidRPr="00671076">
        <w:rPr>
          <w:rFonts w:ascii="Arial" w:eastAsia="Calibri" w:hAnsi="Arial" w:cs="Arial"/>
          <w:sz w:val="24"/>
          <w:szCs w:val="24"/>
          <w:lang w:eastAsia="en-GB"/>
        </w:rPr>
        <w:t>The ONS business counts now include more PAYE businesses than in previous years which means that the data for 2015 is not comparable with the historic figures. In 2015 there were approximately 12,880 enterprises in Croydon, almost all of these were small to medium enterprises.</w:t>
      </w: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FA0A7A" w:rsidRPr="006A31AE" w:rsidRDefault="00FA0A7A" w:rsidP="006A31AE">
      <w:pPr>
        <w:spacing w:after="0" w:line="240" w:lineRule="auto"/>
        <w:outlineLvl w:val="0"/>
        <w:rPr>
          <w:rFonts w:ascii="Arial" w:eastAsia="Times New Roman" w:hAnsi="Arial" w:cs="Arial"/>
          <w:b/>
          <w:bCs/>
          <w:color w:val="701471"/>
          <w:sz w:val="28"/>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Employment</w:t>
      </w:r>
    </w:p>
    <w:p w:rsidR="005C17C7" w:rsidRDefault="005C17C7" w:rsidP="006A31AE">
      <w:pPr>
        <w:spacing w:after="0" w:line="240" w:lineRule="auto"/>
        <w:outlineLvl w:val="0"/>
        <w:rPr>
          <w:rFonts w:ascii="Arial" w:eastAsia="Times New Roman" w:hAnsi="Arial" w:cs="Arial"/>
          <w:b/>
          <w:bCs/>
          <w:color w:val="701471"/>
          <w:sz w:val="28"/>
          <w:szCs w:val="24"/>
          <w:lang w:eastAsia="en-GB"/>
        </w:rPr>
      </w:pPr>
    </w:p>
    <w:p w:rsidR="00FA0A7A" w:rsidRDefault="005C17C7" w:rsidP="00FA0A7A">
      <w:pPr>
        <w:spacing w:after="0" w:line="240" w:lineRule="auto"/>
        <w:rPr>
          <w:rFonts w:ascii="Arial" w:eastAsia="Calibri" w:hAnsi="Arial" w:cs="Arial"/>
          <w:sz w:val="24"/>
          <w:szCs w:val="24"/>
          <w:lang w:eastAsia="en-GB"/>
        </w:rPr>
      </w:pPr>
      <w:r w:rsidRPr="005C17C7">
        <w:rPr>
          <w:rFonts w:ascii="Arial" w:eastAsia="Calibri" w:hAnsi="Arial" w:cs="Arial"/>
          <w:sz w:val="24"/>
          <w:szCs w:val="24"/>
          <w:lang w:eastAsia="en-GB"/>
        </w:rPr>
        <w:t xml:space="preserve">Nearly </w:t>
      </w:r>
      <w:r>
        <w:rPr>
          <w:rFonts w:ascii="Arial" w:eastAsia="Calibri" w:hAnsi="Arial" w:cs="Arial"/>
          <w:sz w:val="24"/>
          <w:szCs w:val="24"/>
          <w:lang w:eastAsia="en-GB"/>
        </w:rPr>
        <w:t xml:space="preserve">3 in 4 </w:t>
      </w:r>
      <w:r w:rsidRPr="005C17C7">
        <w:rPr>
          <w:rFonts w:ascii="Arial" w:eastAsia="Calibri" w:hAnsi="Arial" w:cs="Arial"/>
          <w:sz w:val="24"/>
          <w:szCs w:val="24"/>
          <w:lang w:eastAsia="en-GB"/>
        </w:rPr>
        <w:t>(7</w:t>
      </w:r>
      <w:r>
        <w:rPr>
          <w:rFonts w:ascii="Arial" w:eastAsia="Calibri" w:hAnsi="Arial" w:cs="Arial"/>
          <w:sz w:val="24"/>
          <w:szCs w:val="24"/>
          <w:lang w:eastAsia="en-GB"/>
        </w:rPr>
        <w:t>3.7</w:t>
      </w:r>
      <w:r w:rsidRPr="005C17C7">
        <w:rPr>
          <w:rFonts w:ascii="Arial" w:eastAsia="Calibri" w:hAnsi="Arial" w:cs="Arial"/>
          <w:sz w:val="24"/>
          <w:szCs w:val="24"/>
          <w:lang w:eastAsia="en-GB"/>
        </w:rPr>
        <w:t xml:space="preserve">%) of Croydon residents </w:t>
      </w:r>
      <w:r>
        <w:rPr>
          <w:rFonts w:ascii="Arial" w:eastAsia="Calibri" w:hAnsi="Arial" w:cs="Arial"/>
          <w:sz w:val="24"/>
          <w:szCs w:val="24"/>
          <w:lang w:eastAsia="en-GB"/>
        </w:rPr>
        <w:t xml:space="preserve">aged 16-64 years are in employment.  This is slightly lower than in London and </w:t>
      </w:r>
      <w:r w:rsidR="0040525F">
        <w:rPr>
          <w:rFonts w:ascii="Arial" w:eastAsia="Calibri" w:hAnsi="Arial" w:cs="Arial"/>
          <w:sz w:val="24"/>
          <w:szCs w:val="24"/>
          <w:lang w:eastAsia="en-GB"/>
        </w:rPr>
        <w:t>a</w:t>
      </w:r>
      <w:r>
        <w:rPr>
          <w:rFonts w:ascii="Arial" w:eastAsia="Calibri" w:hAnsi="Arial" w:cs="Arial"/>
          <w:sz w:val="24"/>
          <w:szCs w:val="24"/>
          <w:lang w:eastAsia="en-GB"/>
        </w:rPr>
        <w:t>t the national level.</w:t>
      </w:r>
      <w:r w:rsidR="00AC42BC">
        <w:rPr>
          <w:rFonts w:ascii="Arial" w:eastAsia="Calibri" w:hAnsi="Arial" w:cs="Arial"/>
          <w:sz w:val="24"/>
          <w:szCs w:val="24"/>
          <w:lang w:eastAsia="en-GB"/>
        </w:rPr>
        <w:t xml:space="preserve">  The regional and national employment rates have increased slightly on the previous year.</w:t>
      </w:r>
    </w:p>
    <w:p w:rsidR="00FA0A7A" w:rsidRDefault="00FA0A7A" w:rsidP="00FA0A7A">
      <w:pPr>
        <w:spacing w:after="0" w:line="240" w:lineRule="auto"/>
        <w:rPr>
          <w:rFonts w:ascii="Arial" w:eastAsia="Calibri" w:hAnsi="Arial" w:cs="Arial"/>
          <w:sz w:val="24"/>
          <w:szCs w:val="24"/>
          <w:lang w:eastAsia="en-GB"/>
        </w:rPr>
      </w:pPr>
    </w:p>
    <w:p w:rsidR="005C17C7" w:rsidRPr="005C17C7" w:rsidRDefault="00AC42BC" w:rsidP="005C17C7">
      <w:pPr>
        <w:spacing w:after="200" w:line="276" w:lineRule="auto"/>
        <w:rPr>
          <w:rFonts w:ascii="Arial" w:eastAsia="Calibri" w:hAnsi="Arial" w:cs="Arial"/>
          <w:sz w:val="24"/>
          <w:szCs w:val="24"/>
          <w:lang w:eastAsia="en-GB"/>
        </w:rPr>
      </w:pPr>
      <w:r>
        <w:rPr>
          <w:rFonts w:ascii="Arial" w:eastAsia="Calibri" w:hAnsi="Arial" w:cs="Arial"/>
          <w:sz w:val="24"/>
          <w:szCs w:val="24"/>
          <w:lang w:eastAsia="en-GB"/>
        </w:rPr>
        <w:t>However, Croydon has seen a reduction in the proportion of those employed by almost 5% since the previous year when the employment rate was 78.5%.</w:t>
      </w:r>
    </w:p>
    <w:p w:rsidR="005C17C7" w:rsidRDefault="005C17C7" w:rsidP="005C17C7">
      <w:pPr>
        <w:spacing w:after="0" w:line="240" w:lineRule="auto"/>
        <w:rPr>
          <w:rFonts w:ascii="Arial" w:eastAsia="Calibri" w:hAnsi="Arial" w:cs="Arial"/>
          <w:sz w:val="24"/>
          <w:szCs w:val="24"/>
          <w:u w:val="single"/>
          <w:lang w:eastAsia="en-GB"/>
        </w:rPr>
      </w:pPr>
      <w:r>
        <w:rPr>
          <w:rFonts w:ascii="Arial" w:eastAsia="Calibri" w:hAnsi="Arial" w:cs="Arial"/>
          <w:sz w:val="24"/>
          <w:szCs w:val="24"/>
          <w:u w:val="single"/>
          <w:lang w:eastAsia="en-GB"/>
        </w:rPr>
        <w:t>Table</w:t>
      </w:r>
      <w:r w:rsidRPr="006A31AE">
        <w:rPr>
          <w:rFonts w:ascii="Arial" w:eastAsia="Calibri" w:hAnsi="Arial" w:cs="Arial"/>
          <w:sz w:val="24"/>
          <w:szCs w:val="24"/>
          <w:u w:val="single"/>
          <w:lang w:eastAsia="en-GB"/>
        </w:rPr>
        <w:t xml:space="preserve"> 2 – </w:t>
      </w:r>
      <w:r w:rsidRPr="005C17C7">
        <w:rPr>
          <w:rFonts w:ascii="Arial" w:eastAsia="Calibri" w:hAnsi="Arial" w:cs="Arial"/>
          <w:sz w:val="24"/>
          <w:szCs w:val="24"/>
          <w:u w:val="single"/>
          <w:lang w:eastAsia="en-GB"/>
        </w:rPr>
        <w:t xml:space="preserve">Employment and unemployment </w:t>
      </w:r>
      <w:r>
        <w:rPr>
          <w:rFonts w:ascii="Arial" w:eastAsia="Calibri" w:hAnsi="Arial" w:cs="Arial"/>
          <w:sz w:val="24"/>
          <w:szCs w:val="24"/>
          <w:u w:val="single"/>
          <w:lang w:eastAsia="en-GB"/>
        </w:rPr>
        <w:t xml:space="preserve">in Croydon – </w:t>
      </w:r>
    </w:p>
    <w:p w:rsidR="005C17C7" w:rsidRDefault="005C17C7" w:rsidP="005C17C7">
      <w:pPr>
        <w:spacing w:after="0" w:line="240" w:lineRule="auto"/>
        <w:rPr>
          <w:rFonts w:ascii="Arial" w:eastAsia="Calibri" w:hAnsi="Arial" w:cs="Arial"/>
          <w:sz w:val="24"/>
          <w:szCs w:val="24"/>
          <w:u w:val="single"/>
          <w:lang w:eastAsia="en-GB"/>
        </w:rPr>
      </w:pPr>
      <w:r w:rsidRPr="005C17C7">
        <w:rPr>
          <w:rFonts w:ascii="Arial" w:eastAsia="Calibri" w:hAnsi="Arial" w:cs="Arial"/>
          <w:sz w:val="24"/>
          <w:szCs w:val="24"/>
          <w:u w:val="single"/>
          <w:lang w:eastAsia="en-GB"/>
        </w:rPr>
        <w:t>Jul</w:t>
      </w:r>
      <w:r>
        <w:rPr>
          <w:rFonts w:ascii="Arial" w:eastAsia="Calibri" w:hAnsi="Arial" w:cs="Arial"/>
          <w:sz w:val="24"/>
          <w:szCs w:val="24"/>
          <w:u w:val="single"/>
          <w:lang w:eastAsia="en-GB"/>
        </w:rPr>
        <w:t>y</w:t>
      </w:r>
      <w:r w:rsidRPr="005C17C7">
        <w:rPr>
          <w:rFonts w:ascii="Arial" w:eastAsia="Calibri" w:hAnsi="Arial" w:cs="Arial"/>
          <w:sz w:val="24"/>
          <w:szCs w:val="24"/>
          <w:u w:val="single"/>
          <w:lang w:eastAsia="en-GB"/>
        </w:rPr>
        <w:t xml:space="preserve"> 2017-Jun</w:t>
      </w:r>
      <w:r>
        <w:rPr>
          <w:rFonts w:ascii="Arial" w:eastAsia="Calibri" w:hAnsi="Arial" w:cs="Arial"/>
          <w:sz w:val="24"/>
          <w:szCs w:val="24"/>
          <w:u w:val="single"/>
          <w:lang w:eastAsia="en-GB"/>
        </w:rPr>
        <w:t>e</w:t>
      </w:r>
      <w:r w:rsidRPr="005C17C7">
        <w:rPr>
          <w:rFonts w:ascii="Arial" w:eastAsia="Calibri" w:hAnsi="Arial" w:cs="Arial"/>
          <w:sz w:val="24"/>
          <w:szCs w:val="24"/>
          <w:u w:val="single"/>
          <w:lang w:eastAsia="en-GB"/>
        </w:rPr>
        <w:t xml:space="preserve"> 2018)</w:t>
      </w:r>
    </w:p>
    <w:p w:rsidR="00D87CEE" w:rsidRPr="006A31AE" w:rsidRDefault="00D87CEE" w:rsidP="005C17C7">
      <w:pPr>
        <w:spacing w:after="0" w:line="240" w:lineRule="auto"/>
        <w:rPr>
          <w:rFonts w:ascii="Arial" w:eastAsia="Calibri" w:hAnsi="Arial" w:cs="Arial"/>
          <w:sz w:val="24"/>
          <w:szCs w:val="24"/>
          <w:u w:val="single"/>
          <w:lang w:eastAsia="en-GB"/>
        </w:rPr>
      </w:pPr>
    </w:p>
    <w:tbl>
      <w:tblPr>
        <w:tblW w:w="6316" w:type="dxa"/>
        <w:tblLook w:val="04A0" w:firstRow="1" w:lastRow="0" w:firstColumn="1" w:lastColumn="0" w:noHBand="0" w:noVBand="1"/>
      </w:tblPr>
      <w:tblGrid>
        <w:gridCol w:w="2122"/>
        <w:gridCol w:w="1055"/>
        <w:gridCol w:w="1108"/>
        <w:gridCol w:w="1134"/>
        <w:gridCol w:w="897"/>
      </w:tblGrid>
      <w:tr w:rsidR="005C17C7" w:rsidRPr="005C17C7" w:rsidTr="005C17C7">
        <w:trPr>
          <w:trHeight w:val="276"/>
        </w:trPr>
        <w:tc>
          <w:tcPr>
            <w:tcW w:w="2122" w:type="dxa"/>
            <w:vMerge w:val="restart"/>
            <w:tcBorders>
              <w:right w:val="single" w:sz="4" w:space="0" w:color="auto"/>
            </w:tcBorders>
            <w:shd w:val="clear" w:color="000000" w:fill="FFFFFF"/>
            <w:hideMark/>
          </w:tcPr>
          <w:p w:rsidR="005C17C7" w:rsidRPr="005C17C7" w:rsidRDefault="005C17C7" w:rsidP="005C17C7">
            <w:pPr>
              <w:spacing w:after="0" w:line="240" w:lineRule="auto"/>
              <w:jc w:val="center"/>
              <w:rPr>
                <w:rFonts w:ascii="Verdana" w:eastAsia="Times New Roman" w:hAnsi="Verdana" w:cs="Arial"/>
                <w:b/>
                <w:bCs/>
                <w:color w:val="333333"/>
                <w:sz w:val="18"/>
                <w:szCs w:val="18"/>
                <w:lang w:eastAsia="en-GB"/>
              </w:rPr>
            </w:pPr>
            <w:r w:rsidRPr="005C17C7">
              <w:rPr>
                <w:rFonts w:ascii="Verdana" w:eastAsia="Times New Roman" w:hAnsi="Verdana" w:cs="Arial"/>
                <w:b/>
                <w:bCs/>
                <w:color w:val="333333"/>
                <w:sz w:val="18"/>
                <w:szCs w:val="18"/>
                <w:lang w:eastAsia="en-GB"/>
              </w:rPr>
              <w:t> </w:t>
            </w:r>
          </w:p>
        </w:tc>
        <w:tc>
          <w:tcPr>
            <w:tcW w:w="1055" w:type="dxa"/>
            <w:tcBorders>
              <w:top w:val="single" w:sz="4" w:space="0" w:color="auto"/>
              <w:left w:val="single" w:sz="4" w:space="0" w:color="auto"/>
              <w:bottom w:val="single" w:sz="4" w:space="0" w:color="auto"/>
              <w:right w:val="single" w:sz="4" w:space="0" w:color="auto"/>
            </w:tcBorders>
            <w:shd w:val="clear" w:color="000000" w:fill="FFFFFF"/>
            <w:hideMark/>
          </w:tcPr>
          <w:p w:rsidR="005C17C7" w:rsidRPr="005C17C7" w:rsidRDefault="005C17C7" w:rsidP="005C17C7">
            <w:pPr>
              <w:spacing w:after="0" w:line="240" w:lineRule="auto"/>
              <w:jc w:val="center"/>
              <w:rPr>
                <w:rFonts w:ascii="Verdana" w:eastAsia="Times New Roman" w:hAnsi="Verdana" w:cs="Arial"/>
                <w:b/>
                <w:bCs/>
                <w:color w:val="333333"/>
                <w:sz w:val="18"/>
                <w:szCs w:val="18"/>
                <w:lang w:eastAsia="en-GB"/>
              </w:rPr>
            </w:pPr>
            <w:r w:rsidRPr="005C17C7">
              <w:rPr>
                <w:rFonts w:ascii="Verdana" w:eastAsia="Times New Roman" w:hAnsi="Verdana" w:cs="Arial"/>
                <w:b/>
                <w:bCs/>
                <w:color w:val="333333"/>
                <w:sz w:val="18"/>
                <w:szCs w:val="18"/>
                <w:lang w:eastAsia="en-GB"/>
              </w:rPr>
              <w:t>Croydon</w:t>
            </w:r>
          </w:p>
        </w:tc>
        <w:tc>
          <w:tcPr>
            <w:tcW w:w="1108" w:type="dxa"/>
            <w:tcBorders>
              <w:top w:val="single" w:sz="4" w:space="0" w:color="auto"/>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center"/>
              <w:rPr>
                <w:rFonts w:ascii="Verdana" w:eastAsia="Times New Roman" w:hAnsi="Verdana" w:cs="Arial"/>
                <w:b/>
                <w:bCs/>
                <w:color w:val="333333"/>
                <w:sz w:val="18"/>
                <w:szCs w:val="18"/>
                <w:lang w:eastAsia="en-GB"/>
              </w:rPr>
            </w:pPr>
            <w:r w:rsidRPr="005C17C7">
              <w:rPr>
                <w:rFonts w:ascii="Verdana" w:eastAsia="Times New Roman" w:hAnsi="Verdana" w:cs="Arial"/>
                <w:b/>
                <w:bCs/>
                <w:color w:val="333333"/>
                <w:sz w:val="18"/>
                <w:szCs w:val="18"/>
                <w:lang w:eastAsia="en-GB"/>
              </w:rPr>
              <w:t>Croydon</w:t>
            </w:r>
          </w:p>
        </w:tc>
        <w:tc>
          <w:tcPr>
            <w:tcW w:w="1134" w:type="dxa"/>
            <w:tcBorders>
              <w:top w:val="single" w:sz="4" w:space="0" w:color="auto"/>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center"/>
              <w:rPr>
                <w:rFonts w:ascii="Verdana" w:eastAsia="Times New Roman" w:hAnsi="Verdana" w:cs="Arial"/>
                <w:b/>
                <w:bCs/>
                <w:color w:val="333333"/>
                <w:sz w:val="18"/>
                <w:szCs w:val="18"/>
                <w:lang w:eastAsia="en-GB"/>
              </w:rPr>
            </w:pPr>
            <w:r w:rsidRPr="005C17C7">
              <w:rPr>
                <w:rFonts w:ascii="Verdana" w:eastAsia="Times New Roman" w:hAnsi="Verdana" w:cs="Arial"/>
                <w:b/>
                <w:bCs/>
                <w:color w:val="333333"/>
                <w:sz w:val="18"/>
                <w:szCs w:val="18"/>
                <w:lang w:eastAsia="en-GB"/>
              </w:rPr>
              <w:t>London</w:t>
            </w:r>
          </w:p>
        </w:tc>
        <w:tc>
          <w:tcPr>
            <w:tcW w:w="897" w:type="dxa"/>
            <w:tcBorders>
              <w:top w:val="single" w:sz="4" w:space="0" w:color="auto"/>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center"/>
              <w:rPr>
                <w:rFonts w:ascii="Verdana" w:eastAsia="Times New Roman" w:hAnsi="Verdana" w:cs="Arial"/>
                <w:b/>
                <w:bCs/>
                <w:color w:val="333333"/>
                <w:sz w:val="18"/>
                <w:szCs w:val="18"/>
                <w:lang w:eastAsia="en-GB"/>
              </w:rPr>
            </w:pPr>
            <w:r w:rsidRPr="005C17C7">
              <w:rPr>
                <w:rFonts w:ascii="Verdana" w:eastAsia="Times New Roman" w:hAnsi="Verdana" w:cs="Arial"/>
                <w:b/>
                <w:bCs/>
                <w:color w:val="333333"/>
                <w:sz w:val="18"/>
                <w:szCs w:val="18"/>
                <w:lang w:eastAsia="en-GB"/>
              </w:rPr>
              <w:t>Great Britain</w:t>
            </w:r>
          </w:p>
        </w:tc>
      </w:tr>
      <w:tr w:rsidR="005C17C7" w:rsidRPr="005C17C7" w:rsidTr="005C17C7">
        <w:trPr>
          <w:trHeight w:val="276"/>
        </w:trPr>
        <w:tc>
          <w:tcPr>
            <w:tcW w:w="2122" w:type="dxa"/>
            <w:vMerge/>
            <w:tcBorders>
              <w:bottom w:val="single" w:sz="4" w:space="0" w:color="auto"/>
              <w:right w:val="single" w:sz="4" w:space="0" w:color="auto"/>
            </w:tcBorders>
            <w:vAlign w:val="center"/>
            <w:hideMark/>
          </w:tcPr>
          <w:p w:rsidR="005C17C7" w:rsidRPr="005C17C7" w:rsidRDefault="005C17C7" w:rsidP="005C17C7">
            <w:pPr>
              <w:spacing w:after="0" w:line="240" w:lineRule="auto"/>
              <w:rPr>
                <w:rFonts w:ascii="Verdana" w:eastAsia="Times New Roman" w:hAnsi="Verdana" w:cs="Arial"/>
                <w:b/>
                <w:bCs/>
                <w:color w:val="333333"/>
                <w:sz w:val="18"/>
                <w:szCs w:val="18"/>
                <w:lang w:eastAsia="en-GB"/>
              </w:rPr>
            </w:pPr>
          </w:p>
        </w:tc>
        <w:tc>
          <w:tcPr>
            <w:tcW w:w="1055" w:type="dxa"/>
            <w:tcBorders>
              <w:top w:val="single" w:sz="4" w:space="0" w:color="auto"/>
              <w:left w:val="single" w:sz="4" w:space="0" w:color="auto"/>
              <w:bottom w:val="single" w:sz="4" w:space="0" w:color="auto"/>
              <w:right w:val="single" w:sz="4" w:space="0" w:color="auto"/>
            </w:tcBorders>
            <w:shd w:val="clear" w:color="000000" w:fill="FFFFFF"/>
            <w:hideMark/>
          </w:tcPr>
          <w:p w:rsidR="005C17C7" w:rsidRPr="005C17C7" w:rsidRDefault="005C17C7" w:rsidP="005C17C7">
            <w:pPr>
              <w:spacing w:after="0" w:line="240" w:lineRule="auto"/>
              <w:jc w:val="center"/>
              <w:rPr>
                <w:rFonts w:ascii="Verdana" w:eastAsia="Times New Roman" w:hAnsi="Verdana" w:cs="Arial"/>
                <w:b/>
                <w:bCs/>
                <w:color w:val="333333"/>
                <w:sz w:val="18"/>
                <w:szCs w:val="18"/>
                <w:lang w:eastAsia="en-GB"/>
              </w:rPr>
            </w:pPr>
            <w:r w:rsidRPr="005C17C7">
              <w:rPr>
                <w:rFonts w:ascii="Verdana" w:eastAsia="Times New Roman" w:hAnsi="Verdana" w:cs="Arial"/>
                <w:b/>
                <w:bCs/>
                <w:color w:val="333333"/>
                <w:sz w:val="18"/>
                <w:szCs w:val="18"/>
                <w:lang w:eastAsia="en-GB"/>
              </w:rPr>
              <w:t>(n</w:t>
            </w:r>
            <w:r>
              <w:rPr>
                <w:rFonts w:ascii="Verdana" w:eastAsia="Times New Roman" w:hAnsi="Verdana" w:cs="Arial"/>
                <w:b/>
                <w:bCs/>
                <w:color w:val="333333"/>
                <w:sz w:val="18"/>
                <w:szCs w:val="18"/>
                <w:lang w:eastAsia="en-GB"/>
              </w:rPr>
              <w:t>os)</w:t>
            </w:r>
          </w:p>
        </w:tc>
        <w:tc>
          <w:tcPr>
            <w:tcW w:w="1108" w:type="dxa"/>
            <w:tcBorders>
              <w:top w:val="single" w:sz="4" w:space="0" w:color="auto"/>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center"/>
              <w:rPr>
                <w:rFonts w:ascii="Verdana" w:eastAsia="Times New Roman" w:hAnsi="Verdana" w:cs="Arial"/>
                <w:b/>
                <w:bCs/>
                <w:color w:val="333333"/>
                <w:sz w:val="18"/>
                <w:szCs w:val="18"/>
                <w:lang w:eastAsia="en-GB"/>
              </w:rPr>
            </w:pPr>
            <w:r w:rsidRPr="005C17C7">
              <w:rPr>
                <w:rFonts w:ascii="Verdana" w:eastAsia="Times New Roman" w:hAnsi="Verdana" w:cs="Arial"/>
                <w:b/>
                <w:bCs/>
                <w:color w:val="333333"/>
                <w:sz w:val="18"/>
                <w:szCs w:val="18"/>
                <w:lang w:eastAsia="en-GB"/>
              </w:rPr>
              <w:t>(%)</w:t>
            </w:r>
          </w:p>
        </w:tc>
        <w:tc>
          <w:tcPr>
            <w:tcW w:w="1134" w:type="dxa"/>
            <w:tcBorders>
              <w:top w:val="single" w:sz="4" w:space="0" w:color="auto"/>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center"/>
              <w:rPr>
                <w:rFonts w:ascii="Verdana" w:eastAsia="Times New Roman" w:hAnsi="Verdana" w:cs="Arial"/>
                <w:b/>
                <w:bCs/>
                <w:color w:val="333333"/>
                <w:sz w:val="18"/>
                <w:szCs w:val="18"/>
                <w:lang w:eastAsia="en-GB"/>
              </w:rPr>
            </w:pPr>
            <w:r w:rsidRPr="005C17C7">
              <w:rPr>
                <w:rFonts w:ascii="Verdana" w:eastAsia="Times New Roman" w:hAnsi="Verdana" w:cs="Arial"/>
                <w:b/>
                <w:bCs/>
                <w:color w:val="333333"/>
                <w:sz w:val="18"/>
                <w:szCs w:val="18"/>
                <w:lang w:eastAsia="en-GB"/>
              </w:rPr>
              <w:t>(%)</w:t>
            </w:r>
          </w:p>
        </w:tc>
        <w:tc>
          <w:tcPr>
            <w:tcW w:w="897" w:type="dxa"/>
            <w:tcBorders>
              <w:top w:val="single" w:sz="4" w:space="0" w:color="auto"/>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center"/>
              <w:rPr>
                <w:rFonts w:ascii="Verdana" w:eastAsia="Times New Roman" w:hAnsi="Verdana" w:cs="Arial"/>
                <w:b/>
                <w:bCs/>
                <w:color w:val="333333"/>
                <w:sz w:val="18"/>
                <w:szCs w:val="18"/>
                <w:lang w:eastAsia="en-GB"/>
              </w:rPr>
            </w:pPr>
            <w:r w:rsidRPr="005C17C7">
              <w:rPr>
                <w:rFonts w:ascii="Verdana" w:eastAsia="Times New Roman" w:hAnsi="Verdana" w:cs="Arial"/>
                <w:b/>
                <w:bCs/>
                <w:color w:val="333333"/>
                <w:sz w:val="18"/>
                <w:szCs w:val="18"/>
                <w:lang w:eastAsia="en-GB"/>
              </w:rPr>
              <w:t>(%)</w:t>
            </w:r>
          </w:p>
        </w:tc>
      </w:tr>
      <w:tr w:rsidR="005C17C7" w:rsidRPr="005C17C7" w:rsidTr="005C17C7">
        <w:trPr>
          <w:trHeight w:val="276"/>
        </w:trPr>
        <w:tc>
          <w:tcPr>
            <w:tcW w:w="2122" w:type="dxa"/>
            <w:tcBorders>
              <w:top w:val="single" w:sz="4" w:space="0" w:color="auto"/>
              <w:left w:val="single" w:sz="4" w:space="0" w:color="auto"/>
              <w:bottom w:val="single" w:sz="4" w:space="0" w:color="auto"/>
              <w:right w:val="single" w:sz="4" w:space="0" w:color="auto"/>
            </w:tcBorders>
            <w:shd w:val="clear" w:color="000000" w:fill="FFFFFF"/>
            <w:hideMark/>
          </w:tcPr>
          <w:p w:rsidR="005C17C7" w:rsidRPr="005C17C7" w:rsidRDefault="005C17C7" w:rsidP="005C17C7">
            <w:pPr>
              <w:spacing w:after="0" w:line="240" w:lineRule="auto"/>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Economically active†</w:t>
            </w:r>
          </w:p>
        </w:tc>
        <w:tc>
          <w:tcPr>
            <w:tcW w:w="1055" w:type="dxa"/>
            <w:tcBorders>
              <w:top w:val="nil"/>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207,200</w:t>
            </w:r>
          </w:p>
        </w:tc>
        <w:tc>
          <w:tcPr>
            <w:tcW w:w="1108" w:type="dxa"/>
            <w:tcBorders>
              <w:top w:val="nil"/>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79.5</w:t>
            </w:r>
          </w:p>
        </w:tc>
        <w:tc>
          <w:tcPr>
            <w:tcW w:w="1134" w:type="dxa"/>
            <w:tcBorders>
              <w:top w:val="nil"/>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78.3</w:t>
            </w:r>
          </w:p>
        </w:tc>
        <w:tc>
          <w:tcPr>
            <w:tcW w:w="897" w:type="dxa"/>
            <w:tcBorders>
              <w:top w:val="nil"/>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78.4</w:t>
            </w:r>
          </w:p>
        </w:tc>
      </w:tr>
      <w:tr w:rsidR="005C17C7" w:rsidRPr="005C17C7" w:rsidTr="005C17C7">
        <w:trPr>
          <w:trHeight w:val="276"/>
        </w:trPr>
        <w:tc>
          <w:tcPr>
            <w:tcW w:w="2122" w:type="dxa"/>
            <w:tcBorders>
              <w:top w:val="nil"/>
              <w:left w:val="single" w:sz="4" w:space="0" w:color="auto"/>
              <w:bottom w:val="single" w:sz="4" w:space="0" w:color="auto"/>
              <w:right w:val="single" w:sz="4" w:space="0" w:color="auto"/>
            </w:tcBorders>
            <w:shd w:val="clear" w:color="000000" w:fill="FFFFFF"/>
            <w:hideMark/>
          </w:tcPr>
          <w:p w:rsidR="005C17C7" w:rsidRPr="005C17C7" w:rsidRDefault="005C17C7" w:rsidP="005C17C7">
            <w:pPr>
              <w:spacing w:after="0" w:line="240" w:lineRule="auto"/>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In employment†</w:t>
            </w:r>
          </w:p>
        </w:tc>
        <w:tc>
          <w:tcPr>
            <w:tcW w:w="1055" w:type="dxa"/>
            <w:tcBorders>
              <w:top w:val="nil"/>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192,700</w:t>
            </w:r>
          </w:p>
        </w:tc>
        <w:tc>
          <w:tcPr>
            <w:tcW w:w="1108" w:type="dxa"/>
            <w:tcBorders>
              <w:top w:val="nil"/>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73.7</w:t>
            </w:r>
          </w:p>
        </w:tc>
        <w:tc>
          <w:tcPr>
            <w:tcW w:w="1134" w:type="dxa"/>
            <w:tcBorders>
              <w:top w:val="nil"/>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74.2</w:t>
            </w:r>
          </w:p>
        </w:tc>
        <w:tc>
          <w:tcPr>
            <w:tcW w:w="897" w:type="dxa"/>
            <w:tcBorders>
              <w:top w:val="nil"/>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75</w:t>
            </w:r>
          </w:p>
        </w:tc>
      </w:tr>
      <w:tr w:rsidR="005C17C7" w:rsidRPr="005C17C7" w:rsidTr="005C17C7">
        <w:trPr>
          <w:trHeight w:val="276"/>
        </w:trPr>
        <w:tc>
          <w:tcPr>
            <w:tcW w:w="2122" w:type="dxa"/>
            <w:tcBorders>
              <w:top w:val="nil"/>
              <w:left w:val="single" w:sz="4" w:space="0" w:color="auto"/>
              <w:bottom w:val="single" w:sz="4" w:space="0" w:color="auto"/>
              <w:right w:val="single" w:sz="4" w:space="0" w:color="auto"/>
            </w:tcBorders>
            <w:shd w:val="clear" w:color="000000" w:fill="FFFFFF"/>
            <w:hideMark/>
          </w:tcPr>
          <w:p w:rsidR="005C17C7" w:rsidRPr="005C17C7" w:rsidRDefault="005C17C7" w:rsidP="005C17C7">
            <w:pPr>
              <w:spacing w:after="0" w:line="240" w:lineRule="auto"/>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Employees†</w:t>
            </w:r>
          </w:p>
        </w:tc>
        <w:tc>
          <w:tcPr>
            <w:tcW w:w="1055" w:type="dxa"/>
            <w:tcBorders>
              <w:top w:val="nil"/>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162,000</w:t>
            </w:r>
          </w:p>
        </w:tc>
        <w:tc>
          <w:tcPr>
            <w:tcW w:w="1108" w:type="dxa"/>
            <w:tcBorders>
              <w:top w:val="nil"/>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62.8</w:t>
            </w:r>
          </w:p>
        </w:tc>
        <w:tc>
          <w:tcPr>
            <w:tcW w:w="1134" w:type="dxa"/>
            <w:tcBorders>
              <w:top w:val="nil"/>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60.6</w:t>
            </w:r>
          </w:p>
        </w:tc>
        <w:tc>
          <w:tcPr>
            <w:tcW w:w="897" w:type="dxa"/>
            <w:tcBorders>
              <w:top w:val="nil"/>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64.2</w:t>
            </w:r>
          </w:p>
        </w:tc>
      </w:tr>
      <w:tr w:rsidR="005C17C7" w:rsidRPr="005C17C7" w:rsidTr="00D87CEE">
        <w:trPr>
          <w:trHeight w:val="276"/>
        </w:trPr>
        <w:tc>
          <w:tcPr>
            <w:tcW w:w="2122" w:type="dxa"/>
            <w:tcBorders>
              <w:top w:val="nil"/>
              <w:left w:val="single" w:sz="4" w:space="0" w:color="auto"/>
              <w:bottom w:val="single" w:sz="4" w:space="0" w:color="auto"/>
              <w:right w:val="single" w:sz="4" w:space="0" w:color="auto"/>
            </w:tcBorders>
            <w:shd w:val="clear" w:color="000000" w:fill="FFFFFF"/>
            <w:hideMark/>
          </w:tcPr>
          <w:p w:rsidR="005C17C7" w:rsidRPr="005C17C7" w:rsidRDefault="005C17C7" w:rsidP="005C17C7">
            <w:pPr>
              <w:spacing w:after="0" w:line="240" w:lineRule="auto"/>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Self employed†</w:t>
            </w:r>
          </w:p>
        </w:tc>
        <w:tc>
          <w:tcPr>
            <w:tcW w:w="1055" w:type="dxa"/>
            <w:tcBorders>
              <w:top w:val="nil"/>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29,500</w:t>
            </w:r>
          </w:p>
        </w:tc>
        <w:tc>
          <w:tcPr>
            <w:tcW w:w="1108" w:type="dxa"/>
            <w:tcBorders>
              <w:top w:val="nil"/>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10.5</w:t>
            </w:r>
          </w:p>
        </w:tc>
        <w:tc>
          <w:tcPr>
            <w:tcW w:w="1134" w:type="dxa"/>
            <w:tcBorders>
              <w:top w:val="nil"/>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13.3</w:t>
            </w:r>
          </w:p>
        </w:tc>
        <w:tc>
          <w:tcPr>
            <w:tcW w:w="897" w:type="dxa"/>
            <w:tcBorders>
              <w:top w:val="nil"/>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10.6</w:t>
            </w:r>
          </w:p>
        </w:tc>
      </w:tr>
      <w:tr w:rsidR="005C17C7" w:rsidRPr="005C17C7" w:rsidTr="00D87CEE">
        <w:trPr>
          <w:trHeight w:val="456"/>
        </w:trPr>
        <w:tc>
          <w:tcPr>
            <w:tcW w:w="2122" w:type="dxa"/>
            <w:tcBorders>
              <w:top w:val="single" w:sz="4" w:space="0" w:color="auto"/>
              <w:left w:val="single" w:sz="4" w:space="0" w:color="auto"/>
              <w:bottom w:val="single" w:sz="4" w:space="0" w:color="auto"/>
              <w:right w:val="single" w:sz="4" w:space="0" w:color="auto"/>
            </w:tcBorders>
            <w:shd w:val="clear" w:color="000000" w:fill="FFFFFF"/>
            <w:hideMark/>
          </w:tcPr>
          <w:p w:rsidR="005C17C7" w:rsidRPr="005C17C7" w:rsidRDefault="005C17C7" w:rsidP="005C17C7">
            <w:pPr>
              <w:spacing w:after="0" w:line="240" w:lineRule="auto"/>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Unemployed (model-based)§</w:t>
            </w:r>
          </w:p>
        </w:tc>
        <w:tc>
          <w:tcPr>
            <w:tcW w:w="1055" w:type="dxa"/>
            <w:tcBorders>
              <w:top w:val="single" w:sz="4" w:space="0" w:color="auto"/>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13,700</w:t>
            </w:r>
          </w:p>
        </w:tc>
        <w:tc>
          <w:tcPr>
            <w:tcW w:w="1108" w:type="dxa"/>
            <w:tcBorders>
              <w:top w:val="single" w:sz="4" w:space="0" w:color="auto"/>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6.6</w:t>
            </w:r>
          </w:p>
        </w:tc>
        <w:tc>
          <w:tcPr>
            <w:tcW w:w="1134" w:type="dxa"/>
            <w:tcBorders>
              <w:top w:val="single" w:sz="4" w:space="0" w:color="auto"/>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5.1</w:t>
            </w:r>
          </w:p>
        </w:tc>
        <w:tc>
          <w:tcPr>
            <w:tcW w:w="897" w:type="dxa"/>
            <w:tcBorders>
              <w:top w:val="single" w:sz="4" w:space="0" w:color="auto"/>
              <w:left w:val="nil"/>
              <w:bottom w:val="single" w:sz="4" w:space="0" w:color="auto"/>
              <w:right w:val="single" w:sz="4" w:space="0" w:color="auto"/>
            </w:tcBorders>
            <w:shd w:val="clear" w:color="000000" w:fill="FFFFFF"/>
            <w:hideMark/>
          </w:tcPr>
          <w:p w:rsidR="005C17C7" w:rsidRPr="005C17C7" w:rsidRDefault="005C17C7" w:rsidP="005C17C7">
            <w:pPr>
              <w:spacing w:after="0" w:line="240" w:lineRule="auto"/>
              <w:jc w:val="right"/>
              <w:rPr>
                <w:rFonts w:ascii="Verdana" w:eastAsia="Times New Roman" w:hAnsi="Verdana" w:cs="Arial"/>
                <w:color w:val="333333"/>
                <w:sz w:val="18"/>
                <w:szCs w:val="18"/>
                <w:lang w:eastAsia="en-GB"/>
              </w:rPr>
            </w:pPr>
            <w:r w:rsidRPr="005C17C7">
              <w:rPr>
                <w:rFonts w:ascii="Verdana" w:eastAsia="Times New Roman" w:hAnsi="Verdana" w:cs="Arial"/>
                <w:color w:val="333333"/>
                <w:sz w:val="18"/>
                <w:szCs w:val="18"/>
                <w:lang w:eastAsia="en-GB"/>
              </w:rPr>
              <w:t>4.2</w:t>
            </w:r>
          </w:p>
        </w:tc>
      </w:tr>
    </w:tbl>
    <w:p w:rsidR="005C17C7" w:rsidRDefault="005C17C7" w:rsidP="005C17C7">
      <w:pPr>
        <w:spacing w:after="0" w:line="240" w:lineRule="auto"/>
        <w:rPr>
          <w:rFonts w:ascii="Arial" w:eastAsia="Calibri" w:hAnsi="Arial" w:cs="Arial"/>
          <w:sz w:val="20"/>
          <w:szCs w:val="20"/>
          <w:lang w:eastAsia="en-GB"/>
        </w:rPr>
      </w:pPr>
      <w:r w:rsidRPr="00600C44">
        <w:rPr>
          <w:rFonts w:ascii="Arial" w:eastAsia="Calibri" w:hAnsi="Arial" w:cs="Arial"/>
          <w:sz w:val="20"/>
          <w:szCs w:val="20"/>
          <w:lang w:eastAsia="en-GB"/>
        </w:rPr>
        <w:t>Source: ONS, Annual Population Survey</w:t>
      </w:r>
    </w:p>
    <w:p w:rsidR="00596A1A" w:rsidRPr="00600C44" w:rsidRDefault="00596A1A" w:rsidP="005C17C7">
      <w:pPr>
        <w:spacing w:after="0" w:line="240" w:lineRule="auto"/>
        <w:rPr>
          <w:rFonts w:ascii="Arial" w:eastAsia="Calibri" w:hAnsi="Arial" w:cs="Arial"/>
          <w:sz w:val="20"/>
          <w:szCs w:val="20"/>
          <w:lang w:eastAsia="en-GB"/>
        </w:rPr>
      </w:pPr>
    </w:p>
    <w:p w:rsidR="005C17C7" w:rsidRPr="008F22A2" w:rsidRDefault="005C17C7" w:rsidP="006A31AE">
      <w:pPr>
        <w:spacing w:after="0" w:line="240" w:lineRule="auto"/>
        <w:outlineLvl w:val="0"/>
        <w:rPr>
          <w:rFonts w:ascii="Arial" w:eastAsia="Times New Roman" w:hAnsi="Arial" w:cs="Arial"/>
          <w:b/>
          <w:bCs/>
          <w:color w:val="701471"/>
          <w:sz w:val="16"/>
          <w:szCs w:val="16"/>
          <w:lang w:eastAsia="en-GB"/>
        </w:rPr>
      </w:pPr>
    </w:p>
    <w:p w:rsidR="005C17C7" w:rsidRPr="008F22A2" w:rsidRDefault="005C17C7" w:rsidP="00596A1A">
      <w:pPr>
        <w:spacing w:after="0" w:line="240" w:lineRule="auto"/>
        <w:ind w:right="414" w:firstLine="720"/>
        <w:outlineLvl w:val="0"/>
        <w:rPr>
          <w:rFonts w:ascii="Arial" w:eastAsia="Times New Roman" w:hAnsi="Arial" w:cs="Arial"/>
          <w:bCs/>
          <w:sz w:val="16"/>
          <w:szCs w:val="16"/>
          <w:lang w:eastAsia="en-GB"/>
        </w:rPr>
      </w:pPr>
      <w:r w:rsidRPr="008F22A2">
        <w:rPr>
          <w:rFonts w:ascii="Arial" w:eastAsia="Times New Roman" w:hAnsi="Arial" w:cs="Arial"/>
          <w:bCs/>
          <w:sz w:val="16"/>
          <w:szCs w:val="16"/>
          <w:lang w:eastAsia="en-GB"/>
        </w:rPr>
        <w:t>†   -   numbers are for those aged 16 and over, % are for those aged 16-64</w:t>
      </w:r>
    </w:p>
    <w:p w:rsidR="00596A1A" w:rsidRDefault="005C17C7" w:rsidP="00596A1A">
      <w:pPr>
        <w:spacing w:after="0" w:line="240" w:lineRule="auto"/>
        <w:ind w:right="414" w:firstLine="720"/>
        <w:outlineLvl w:val="0"/>
        <w:rPr>
          <w:rFonts w:ascii="Arial" w:eastAsia="Times New Roman" w:hAnsi="Arial" w:cs="Arial"/>
          <w:bCs/>
          <w:sz w:val="16"/>
          <w:szCs w:val="16"/>
          <w:lang w:eastAsia="en-GB"/>
        </w:rPr>
      </w:pPr>
      <w:r w:rsidRPr="008F22A2">
        <w:rPr>
          <w:rFonts w:ascii="Arial" w:eastAsia="Times New Roman" w:hAnsi="Arial" w:cs="Arial"/>
          <w:bCs/>
          <w:sz w:val="16"/>
          <w:szCs w:val="16"/>
          <w:lang w:eastAsia="en-GB"/>
        </w:rPr>
        <w:t xml:space="preserve">§   -   numbers and % are for those aged 16 and over. % is a proportion of </w:t>
      </w:r>
    </w:p>
    <w:p w:rsidR="005C17C7" w:rsidRPr="008F22A2" w:rsidRDefault="00596A1A" w:rsidP="00596A1A">
      <w:pPr>
        <w:spacing w:after="0" w:line="240" w:lineRule="auto"/>
        <w:ind w:right="414" w:firstLine="720"/>
        <w:outlineLvl w:val="0"/>
        <w:rPr>
          <w:rFonts w:ascii="Arial" w:eastAsia="Times New Roman" w:hAnsi="Arial" w:cs="Arial"/>
          <w:bCs/>
          <w:sz w:val="16"/>
          <w:szCs w:val="16"/>
          <w:lang w:eastAsia="en-GB"/>
        </w:rPr>
      </w:pPr>
      <w:r>
        <w:rPr>
          <w:rFonts w:ascii="Arial" w:eastAsia="Times New Roman" w:hAnsi="Arial" w:cs="Arial"/>
          <w:bCs/>
          <w:sz w:val="16"/>
          <w:szCs w:val="16"/>
          <w:lang w:eastAsia="en-GB"/>
        </w:rPr>
        <w:t xml:space="preserve">         </w:t>
      </w:r>
      <w:r w:rsidR="005C17C7" w:rsidRPr="008F22A2">
        <w:rPr>
          <w:rFonts w:ascii="Arial" w:eastAsia="Times New Roman" w:hAnsi="Arial" w:cs="Arial"/>
          <w:bCs/>
          <w:sz w:val="16"/>
          <w:szCs w:val="16"/>
          <w:lang w:eastAsia="en-GB"/>
        </w:rPr>
        <w:t>economically active</w:t>
      </w:r>
    </w:p>
    <w:p w:rsidR="00D87CEE" w:rsidRDefault="005C17C7" w:rsidP="00AC42BC">
      <w:pPr>
        <w:spacing w:after="0" w:line="240" w:lineRule="auto"/>
        <w:outlineLvl w:val="0"/>
        <w:rPr>
          <w:rFonts w:ascii="Arial" w:eastAsia="Times New Roman" w:hAnsi="Arial" w:cs="Arial"/>
          <w:b/>
          <w:bCs/>
          <w:color w:val="701471"/>
          <w:sz w:val="28"/>
          <w:szCs w:val="24"/>
          <w:lang w:eastAsia="en-GB"/>
        </w:rPr>
      </w:pPr>
      <w:r w:rsidRPr="005C17C7">
        <w:rPr>
          <w:rFonts w:ascii="Arial" w:eastAsia="Times New Roman" w:hAnsi="Arial" w:cs="Arial"/>
          <w:b/>
          <w:bCs/>
          <w:color w:val="701471"/>
          <w:sz w:val="28"/>
          <w:szCs w:val="24"/>
          <w:lang w:eastAsia="en-GB"/>
        </w:rPr>
        <w:cr/>
      </w:r>
    </w:p>
    <w:p w:rsidR="001356B1" w:rsidRDefault="001356B1" w:rsidP="00AC42BC">
      <w:pPr>
        <w:spacing w:after="0" w:line="240" w:lineRule="auto"/>
        <w:outlineLvl w:val="0"/>
        <w:rPr>
          <w:rFonts w:ascii="Arial" w:eastAsia="Calibri" w:hAnsi="Arial" w:cs="Arial"/>
          <w:sz w:val="24"/>
          <w:szCs w:val="24"/>
          <w:lang w:eastAsia="en-GB"/>
        </w:rPr>
      </w:pPr>
    </w:p>
    <w:p w:rsidR="001356B1" w:rsidRDefault="001356B1" w:rsidP="00AC42BC">
      <w:pPr>
        <w:spacing w:after="0" w:line="240" w:lineRule="auto"/>
        <w:outlineLvl w:val="0"/>
        <w:rPr>
          <w:rFonts w:ascii="Arial" w:eastAsia="Calibri" w:hAnsi="Arial" w:cs="Arial"/>
          <w:sz w:val="24"/>
          <w:szCs w:val="24"/>
          <w:lang w:eastAsia="en-GB"/>
        </w:rPr>
      </w:pPr>
    </w:p>
    <w:p w:rsidR="001356B1" w:rsidRDefault="001356B1" w:rsidP="00AC42BC">
      <w:pPr>
        <w:spacing w:after="0" w:line="240" w:lineRule="auto"/>
        <w:outlineLvl w:val="0"/>
        <w:rPr>
          <w:rFonts w:ascii="Arial" w:eastAsia="Calibri" w:hAnsi="Arial" w:cs="Arial"/>
          <w:sz w:val="24"/>
          <w:szCs w:val="24"/>
          <w:lang w:eastAsia="en-GB"/>
        </w:rPr>
      </w:pPr>
    </w:p>
    <w:p w:rsidR="008D4CF5" w:rsidRPr="00B943F3" w:rsidRDefault="006A31AE" w:rsidP="00AC42BC">
      <w:pPr>
        <w:spacing w:after="0" w:line="240" w:lineRule="auto"/>
        <w:outlineLvl w:val="0"/>
        <w:rPr>
          <w:rFonts w:ascii="Arial" w:eastAsia="Times New Roman" w:hAnsi="Arial" w:cs="Arial"/>
          <w:b/>
          <w:bCs/>
          <w:color w:val="701471"/>
          <w:sz w:val="28"/>
          <w:szCs w:val="24"/>
          <w:lang w:eastAsia="en-GB"/>
        </w:rPr>
      </w:pPr>
      <w:r w:rsidRPr="006A31AE">
        <w:rPr>
          <w:rFonts w:ascii="Arial" w:eastAsia="Calibri" w:hAnsi="Arial" w:cs="Arial"/>
          <w:sz w:val="24"/>
          <w:szCs w:val="24"/>
          <w:lang w:eastAsia="en-GB"/>
        </w:rPr>
        <w:t xml:space="preserve">The latest job density figure for Croydon is 0.59 (2016).  The density figure represents the ratio of total jobs to population aged 16-64.  In Croydon, this has been increasing in the past </w:t>
      </w:r>
    </w:p>
    <w:p w:rsidR="006A31AE" w:rsidRPr="006A31AE" w:rsidRDefault="006A31AE" w:rsidP="00AC42BC">
      <w:pPr>
        <w:spacing w:after="0" w:line="240" w:lineRule="auto"/>
        <w:outlineLvl w:val="0"/>
        <w:rPr>
          <w:rFonts w:ascii="Arial" w:eastAsia="Calibri" w:hAnsi="Arial" w:cs="Arial"/>
          <w:sz w:val="24"/>
          <w:szCs w:val="24"/>
          <w:lang w:eastAsia="en-GB"/>
        </w:rPr>
      </w:pPr>
      <w:r w:rsidRPr="006A31AE">
        <w:rPr>
          <w:rFonts w:ascii="Arial" w:eastAsia="Calibri" w:hAnsi="Arial" w:cs="Arial"/>
          <w:sz w:val="24"/>
          <w:szCs w:val="24"/>
          <w:lang w:eastAsia="en-GB"/>
        </w:rPr>
        <w:t>few years but is still much lower than in London (0.99) and Great Britain (0.84).</w:t>
      </w:r>
    </w:p>
    <w:p w:rsidR="008D4CF5" w:rsidRDefault="008D4CF5" w:rsidP="006A31AE">
      <w:pPr>
        <w:spacing w:after="200" w:line="276" w:lineRule="auto"/>
        <w:rPr>
          <w:rFonts w:ascii="Arial" w:eastAsia="Calibri" w:hAnsi="Arial" w:cs="Arial"/>
          <w:sz w:val="24"/>
          <w:szCs w:val="24"/>
          <w:lang w:eastAsia="en-GB"/>
        </w:rPr>
      </w:pPr>
    </w:p>
    <w:p w:rsid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difference in average gross earnings for male full-time workers is only about £</w:t>
      </w:r>
      <w:r w:rsidR="00D43C5F">
        <w:rPr>
          <w:rFonts w:ascii="Arial" w:eastAsia="Calibri" w:hAnsi="Arial" w:cs="Arial"/>
          <w:sz w:val="24"/>
          <w:szCs w:val="24"/>
          <w:lang w:eastAsia="en-GB"/>
        </w:rPr>
        <w:t>45</w:t>
      </w:r>
      <w:r w:rsidRPr="006A31AE">
        <w:rPr>
          <w:rFonts w:ascii="Arial" w:eastAsia="Calibri" w:hAnsi="Arial" w:cs="Arial"/>
          <w:sz w:val="24"/>
          <w:szCs w:val="24"/>
          <w:lang w:eastAsia="en-GB"/>
        </w:rPr>
        <w:t xml:space="preserve"> a week between those who work in Croydon and those who live in Croydon. However, for females the difference is about £12 a week.</w:t>
      </w:r>
    </w:p>
    <w:p w:rsidR="006A31AE" w:rsidRPr="006A31AE" w:rsidRDefault="006A31AE" w:rsidP="00600C44">
      <w:pPr>
        <w:spacing w:after="0" w:line="276" w:lineRule="auto"/>
        <w:ind w:right="-153"/>
        <w:rPr>
          <w:rFonts w:ascii="Arial" w:eastAsia="Calibri" w:hAnsi="Arial" w:cs="Arial"/>
          <w:sz w:val="24"/>
          <w:szCs w:val="24"/>
          <w:lang w:eastAsia="en-GB"/>
        </w:rPr>
      </w:pPr>
      <w:r w:rsidRPr="006A31AE">
        <w:rPr>
          <w:rFonts w:ascii="Arial" w:eastAsia="Calibri" w:hAnsi="Arial" w:cs="Arial"/>
          <w:sz w:val="24"/>
          <w:szCs w:val="24"/>
          <w:u w:val="single"/>
          <w:lang w:eastAsia="en-GB"/>
        </w:rPr>
        <w:t>Figure 2 – Gross weekly earnings for workers in Croydon</w:t>
      </w:r>
      <w:r w:rsidR="008D4CF5">
        <w:rPr>
          <w:rFonts w:ascii="Arial" w:eastAsia="Calibri" w:hAnsi="Arial" w:cs="Arial"/>
          <w:sz w:val="24"/>
          <w:szCs w:val="24"/>
          <w:u w:val="single"/>
          <w:lang w:eastAsia="en-GB"/>
        </w:rPr>
        <w:t>, 2018</w:t>
      </w:r>
      <w:r w:rsidR="00D43C5F">
        <w:rPr>
          <w:noProof/>
          <w:lang w:eastAsia="en-GB"/>
        </w:rPr>
        <w:drawing>
          <wp:inline distT="0" distB="0" distL="0" distR="0" wp14:anchorId="077BC0BF" wp14:editId="4323F34D">
            <wp:extent cx="4150723" cy="2449285"/>
            <wp:effectExtent l="0" t="0" r="2540" b="8255"/>
            <wp:docPr id="2068" name="Chart 20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rsidR="006A31AE" w:rsidRPr="00600C44" w:rsidRDefault="008D4CF5" w:rsidP="00600C44">
      <w:pPr>
        <w:spacing w:after="0" w:line="240" w:lineRule="auto"/>
        <w:rPr>
          <w:rFonts w:ascii="Arial" w:eastAsia="Calibri" w:hAnsi="Arial" w:cs="Arial"/>
          <w:sz w:val="20"/>
          <w:szCs w:val="20"/>
          <w:lang w:eastAsia="en-GB"/>
        </w:rPr>
      </w:pPr>
      <w:r w:rsidRPr="00600C44">
        <w:rPr>
          <w:rFonts w:ascii="Arial" w:eastAsia="Calibri" w:hAnsi="Arial" w:cs="Arial"/>
          <w:sz w:val="20"/>
          <w:szCs w:val="20"/>
          <w:lang w:eastAsia="en-GB"/>
        </w:rPr>
        <w:t>S</w:t>
      </w:r>
      <w:r w:rsidR="00D43C5F" w:rsidRPr="00600C44">
        <w:rPr>
          <w:rFonts w:ascii="Arial" w:eastAsia="Calibri" w:hAnsi="Arial" w:cs="Arial"/>
          <w:sz w:val="20"/>
          <w:szCs w:val="20"/>
          <w:lang w:eastAsia="en-GB"/>
        </w:rPr>
        <w:t xml:space="preserve">ource: ONS </w:t>
      </w:r>
      <w:r w:rsidRPr="00600C44">
        <w:rPr>
          <w:rFonts w:ascii="Arial" w:eastAsia="Calibri" w:hAnsi="Arial" w:cs="Arial"/>
          <w:sz w:val="20"/>
          <w:szCs w:val="20"/>
          <w:lang w:eastAsia="en-GB"/>
        </w:rPr>
        <w:t xml:space="preserve">ASHE, </w:t>
      </w:r>
      <w:r w:rsidR="00D43C5F" w:rsidRPr="00600C44">
        <w:rPr>
          <w:rFonts w:ascii="Arial" w:eastAsia="Calibri" w:hAnsi="Arial" w:cs="Arial"/>
          <w:sz w:val="20"/>
          <w:szCs w:val="20"/>
          <w:lang w:eastAsia="en-GB"/>
        </w:rPr>
        <w:t xml:space="preserve">resident </w:t>
      </w:r>
      <w:r w:rsidRPr="00600C44">
        <w:rPr>
          <w:rFonts w:ascii="Arial" w:eastAsia="Calibri" w:hAnsi="Arial" w:cs="Arial"/>
          <w:sz w:val="20"/>
          <w:szCs w:val="20"/>
          <w:lang w:eastAsia="en-GB"/>
        </w:rPr>
        <w:t>a</w:t>
      </w:r>
      <w:r w:rsidR="00D43C5F" w:rsidRPr="00600C44">
        <w:rPr>
          <w:rFonts w:ascii="Arial" w:eastAsia="Calibri" w:hAnsi="Arial" w:cs="Arial"/>
          <w:sz w:val="20"/>
          <w:szCs w:val="20"/>
          <w:lang w:eastAsia="en-GB"/>
        </w:rPr>
        <w:t>nalysis</w:t>
      </w:r>
    </w:p>
    <w:p w:rsidR="00D43C5F" w:rsidRDefault="00D43C5F" w:rsidP="00600C44">
      <w:pPr>
        <w:spacing w:after="0" w:line="240" w:lineRule="auto"/>
        <w:rPr>
          <w:rFonts w:ascii="Arial" w:eastAsia="Calibri" w:hAnsi="Arial" w:cs="Arial"/>
          <w:sz w:val="24"/>
          <w:szCs w:val="24"/>
          <w:lang w:eastAsia="en-GB"/>
        </w:rPr>
      </w:pPr>
    </w:p>
    <w:p w:rsidR="008D4CF5" w:rsidRDefault="008D4CF5" w:rsidP="006A31AE">
      <w:pPr>
        <w:spacing w:after="200" w:line="276" w:lineRule="auto"/>
        <w:rPr>
          <w:rFonts w:ascii="Arial" w:eastAsia="Calibri" w:hAnsi="Arial" w:cs="Arial"/>
          <w:sz w:val="24"/>
          <w:szCs w:val="24"/>
          <w:u w:val="single"/>
          <w:lang w:eastAsia="en-GB"/>
        </w:rPr>
      </w:pPr>
    </w:p>
    <w:p w:rsidR="007B0710" w:rsidRDefault="007B0710" w:rsidP="006A31AE">
      <w:pPr>
        <w:spacing w:after="200" w:line="276" w:lineRule="auto"/>
        <w:rPr>
          <w:rFonts w:ascii="Arial" w:eastAsia="Calibri" w:hAnsi="Arial" w:cs="Arial"/>
          <w:sz w:val="24"/>
          <w:szCs w:val="24"/>
          <w:u w:val="single"/>
          <w:lang w:eastAsia="en-GB"/>
        </w:rPr>
      </w:pPr>
    </w:p>
    <w:p w:rsidR="006A31AE" w:rsidRPr="006A31AE" w:rsidRDefault="006A31AE" w:rsidP="006A31AE">
      <w:pPr>
        <w:spacing w:after="200" w:line="276" w:lineRule="auto"/>
        <w:rPr>
          <w:rFonts w:ascii="Arial" w:eastAsia="Calibri" w:hAnsi="Arial" w:cs="Arial"/>
          <w:sz w:val="24"/>
          <w:szCs w:val="24"/>
          <w:u w:val="single"/>
          <w:lang w:eastAsia="en-GB"/>
        </w:rPr>
      </w:pPr>
      <w:r w:rsidRPr="006A31AE">
        <w:rPr>
          <w:rFonts w:ascii="Arial" w:eastAsia="Calibri" w:hAnsi="Arial" w:cs="Arial"/>
          <w:sz w:val="24"/>
          <w:szCs w:val="24"/>
          <w:u w:val="single"/>
          <w:lang w:eastAsia="en-GB"/>
        </w:rPr>
        <w:t>Figure 3 – Gross weekly earnings for Croydon residents</w:t>
      </w:r>
      <w:r w:rsidR="008D4CF5">
        <w:rPr>
          <w:rFonts w:ascii="Arial" w:eastAsia="Calibri" w:hAnsi="Arial" w:cs="Arial"/>
          <w:sz w:val="24"/>
          <w:szCs w:val="24"/>
          <w:u w:val="single"/>
          <w:lang w:eastAsia="en-GB"/>
        </w:rPr>
        <w:t>, 2018</w:t>
      </w:r>
    </w:p>
    <w:p w:rsidR="006A31AE" w:rsidRDefault="00D43C5F" w:rsidP="006A31AE">
      <w:pPr>
        <w:spacing w:after="0" w:line="276" w:lineRule="auto"/>
        <w:rPr>
          <w:rFonts w:ascii="Arial" w:eastAsia="Calibri" w:hAnsi="Arial" w:cs="Arial"/>
          <w:noProof/>
          <w:sz w:val="24"/>
          <w:szCs w:val="24"/>
          <w:lang w:eastAsia="en-GB"/>
        </w:rPr>
      </w:pPr>
      <w:r>
        <w:rPr>
          <w:noProof/>
          <w:lang w:eastAsia="en-GB"/>
        </w:rPr>
        <w:drawing>
          <wp:inline distT="0" distB="0" distL="0" distR="0" wp14:anchorId="47835AB7" wp14:editId="5D0E184C">
            <wp:extent cx="4212771" cy="2296886"/>
            <wp:effectExtent l="0" t="0" r="16510" b="8255"/>
            <wp:docPr id="2071" name="Chart 20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rsidR="006A31AE" w:rsidRPr="00600C44" w:rsidRDefault="006A31AE" w:rsidP="006A31AE">
      <w:pPr>
        <w:spacing w:after="0" w:line="276" w:lineRule="auto"/>
        <w:rPr>
          <w:rFonts w:ascii="Arial" w:eastAsia="Calibri" w:hAnsi="Arial" w:cs="Arial"/>
          <w:sz w:val="20"/>
          <w:szCs w:val="20"/>
          <w:lang w:eastAsia="en-GB"/>
        </w:rPr>
      </w:pPr>
      <w:r w:rsidRPr="00600C44">
        <w:rPr>
          <w:rFonts w:ascii="Arial" w:eastAsia="Calibri" w:hAnsi="Arial" w:cs="Arial"/>
          <w:sz w:val="20"/>
          <w:szCs w:val="20"/>
          <w:lang w:eastAsia="en-GB"/>
        </w:rPr>
        <w:t xml:space="preserve">Source: </w:t>
      </w:r>
      <w:r w:rsidR="00D43C5F" w:rsidRPr="00600C44">
        <w:rPr>
          <w:rFonts w:ascii="Arial" w:eastAsia="Calibri" w:hAnsi="Arial" w:cs="Arial"/>
          <w:sz w:val="20"/>
          <w:szCs w:val="20"/>
          <w:lang w:eastAsia="en-GB"/>
        </w:rPr>
        <w:t xml:space="preserve">ONS </w:t>
      </w:r>
      <w:r w:rsidR="008D4CF5" w:rsidRPr="00600C44">
        <w:rPr>
          <w:rFonts w:ascii="Arial" w:eastAsia="Calibri" w:hAnsi="Arial" w:cs="Arial"/>
          <w:sz w:val="20"/>
          <w:szCs w:val="20"/>
          <w:lang w:eastAsia="en-GB"/>
        </w:rPr>
        <w:t xml:space="preserve">ASHE, </w:t>
      </w:r>
      <w:r w:rsidR="00D43C5F" w:rsidRPr="00600C44">
        <w:rPr>
          <w:rFonts w:ascii="Arial" w:eastAsia="Calibri" w:hAnsi="Arial" w:cs="Arial"/>
          <w:sz w:val="20"/>
          <w:szCs w:val="20"/>
          <w:lang w:eastAsia="en-GB"/>
        </w:rPr>
        <w:t>workplace analysis</w:t>
      </w:r>
    </w:p>
    <w:p w:rsidR="00D43C5F" w:rsidRDefault="00D43C5F" w:rsidP="006A31AE">
      <w:pPr>
        <w:spacing w:after="0" w:line="276" w:lineRule="auto"/>
        <w:rPr>
          <w:rFonts w:ascii="Arial" w:eastAsia="Calibri" w:hAnsi="Arial" w:cs="Arial"/>
          <w:sz w:val="24"/>
          <w:szCs w:val="24"/>
          <w:lang w:eastAsia="en-GB"/>
        </w:rPr>
      </w:pPr>
    </w:p>
    <w:p w:rsidR="00264977" w:rsidRPr="006A31AE" w:rsidRDefault="00264977" w:rsidP="006A31AE">
      <w:pPr>
        <w:spacing w:after="0" w:line="276" w:lineRule="auto"/>
        <w:rPr>
          <w:rFonts w:ascii="Arial" w:eastAsia="Calibri" w:hAnsi="Arial" w:cs="Arial"/>
          <w:noProof/>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higher earnings for those living in Croydon is likely to be linked to the high proportion of residents who commute into central London. The 2011 Census figures suggest that Croydon is a net exporter of workers.</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The number of jobs in Croydon each year, over the past 3 years to 2017 has averaged at around 119,000 per year. Latest estimates for 2017 </w:t>
      </w:r>
      <w:r w:rsidR="00264977">
        <w:rPr>
          <w:rFonts w:ascii="Arial" w:eastAsia="Calibri" w:hAnsi="Arial" w:cs="Arial"/>
          <w:sz w:val="24"/>
          <w:szCs w:val="24"/>
          <w:lang w:eastAsia="en-GB"/>
        </w:rPr>
        <w:t xml:space="preserve">suggest that Croydon has a much </w:t>
      </w:r>
      <w:r w:rsidRPr="006A31AE">
        <w:rPr>
          <w:rFonts w:ascii="Arial" w:eastAsia="Calibri" w:hAnsi="Arial" w:cs="Arial"/>
          <w:sz w:val="24"/>
          <w:szCs w:val="24"/>
          <w:lang w:eastAsia="en-GB"/>
        </w:rPr>
        <w:t xml:space="preserve">higher than average proportion of jobs in the wholesale and retail sectors, in health and social work and in education.  </w:t>
      </w:r>
    </w:p>
    <w:p w:rsidR="004439DD" w:rsidRDefault="004439DD" w:rsidP="006A31AE">
      <w:pPr>
        <w:spacing w:after="200" w:line="276" w:lineRule="auto"/>
        <w:rPr>
          <w:rFonts w:ascii="Arial" w:eastAsia="Calibri" w:hAnsi="Arial" w:cs="Arial"/>
          <w:sz w:val="24"/>
          <w:szCs w:val="24"/>
          <w:lang w:eastAsia="en-GB"/>
        </w:rPr>
      </w:pPr>
    </w:p>
    <w:p w:rsidR="004439DD" w:rsidRDefault="004439DD" w:rsidP="006A31AE">
      <w:pPr>
        <w:spacing w:after="200" w:line="276" w:lineRule="auto"/>
        <w:rPr>
          <w:rFonts w:ascii="Arial" w:eastAsia="Calibri" w:hAnsi="Arial" w:cs="Arial"/>
          <w:sz w:val="24"/>
          <w:szCs w:val="24"/>
          <w:lang w:eastAsia="en-GB"/>
        </w:rPr>
      </w:pPr>
    </w:p>
    <w:p w:rsidR="00596A1A" w:rsidRDefault="00596A1A" w:rsidP="006A31AE">
      <w:pPr>
        <w:spacing w:after="200" w:line="276" w:lineRule="auto"/>
        <w:rPr>
          <w:rFonts w:ascii="Arial" w:eastAsia="Calibri" w:hAnsi="Arial" w:cs="Arial"/>
          <w:sz w:val="24"/>
          <w:szCs w:val="24"/>
          <w:lang w:eastAsia="en-GB"/>
        </w:rPr>
      </w:pPr>
    </w:p>
    <w:p w:rsidR="0026664B"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Professional and administrative support services also feature at around 8% in Croydon.</w:t>
      </w:r>
    </w:p>
    <w:p w:rsidR="006A31AE" w:rsidRPr="006A31AE" w:rsidRDefault="006A31AE" w:rsidP="006A31AE">
      <w:pPr>
        <w:spacing w:after="200" w:line="276" w:lineRule="auto"/>
        <w:rPr>
          <w:rFonts w:ascii="Arial" w:eastAsia="Calibri" w:hAnsi="Arial" w:cs="Arial"/>
          <w:sz w:val="24"/>
          <w:szCs w:val="24"/>
          <w:u w:val="single"/>
          <w:lang w:eastAsia="en-GB"/>
        </w:rPr>
      </w:pPr>
      <w:r w:rsidRPr="006A31AE">
        <w:rPr>
          <w:rFonts w:ascii="Arial" w:eastAsia="Calibri" w:hAnsi="Arial" w:cs="Arial"/>
          <w:sz w:val="24"/>
          <w:szCs w:val="24"/>
          <w:u w:val="single"/>
          <w:lang w:eastAsia="en-GB"/>
        </w:rPr>
        <w:t xml:space="preserve">Figure 4 – Top </w:t>
      </w:r>
      <w:r w:rsidR="00D87CEE">
        <w:rPr>
          <w:rFonts w:ascii="Arial" w:eastAsia="Calibri" w:hAnsi="Arial" w:cs="Arial"/>
          <w:sz w:val="24"/>
          <w:szCs w:val="24"/>
          <w:u w:val="single"/>
          <w:lang w:eastAsia="en-GB"/>
        </w:rPr>
        <w:t xml:space="preserve">6 </w:t>
      </w:r>
      <w:r w:rsidRPr="006A31AE">
        <w:rPr>
          <w:rFonts w:ascii="Arial" w:eastAsia="Calibri" w:hAnsi="Arial" w:cs="Arial"/>
          <w:sz w:val="24"/>
          <w:szCs w:val="24"/>
          <w:u w:val="single"/>
          <w:lang w:eastAsia="en-GB"/>
        </w:rPr>
        <w:t>Employee jobs 2017</w:t>
      </w:r>
    </w:p>
    <w:p w:rsidR="006A31AE" w:rsidRDefault="006A31AE" w:rsidP="00600C44">
      <w:pPr>
        <w:spacing w:after="0" w:line="240" w:lineRule="auto"/>
        <w:rPr>
          <w:rFonts w:ascii="Arial" w:eastAsia="Calibri" w:hAnsi="Arial" w:cs="Arial"/>
          <w:noProof/>
          <w:sz w:val="24"/>
          <w:szCs w:val="24"/>
          <w:lang w:eastAsia="en-GB"/>
        </w:rPr>
      </w:pPr>
      <w:r w:rsidRPr="006A31AE">
        <w:rPr>
          <w:rFonts w:ascii="Arial" w:eastAsia="Calibri" w:hAnsi="Arial" w:cs="Arial"/>
          <w:noProof/>
          <w:sz w:val="24"/>
          <w:szCs w:val="24"/>
          <w:lang w:eastAsia="en-GB"/>
        </w:rPr>
        <w:drawing>
          <wp:inline distT="0" distB="0" distL="0" distR="0" wp14:anchorId="01E8317E" wp14:editId="43BF6732">
            <wp:extent cx="4046220" cy="2339340"/>
            <wp:effectExtent l="0" t="0" r="11430" b="381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rsidR="006A31AE" w:rsidRPr="00600C44" w:rsidRDefault="00600C44" w:rsidP="00600C44">
      <w:pPr>
        <w:spacing w:after="0" w:line="240" w:lineRule="auto"/>
        <w:rPr>
          <w:rFonts w:ascii="Arial" w:eastAsia="Calibri" w:hAnsi="Arial" w:cs="Arial"/>
          <w:sz w:val="20"/>
          <w:szCs w:val="20"/>
          <w:lang w:eastAsia="en-GB"/>
        </w:rPr>
      </w:pPr>
      <w:r>
        <w:rPr>
          <w:rFonts w:ascii="Arial" w:eastAsia="Calibri" w:hAnsi="Arial" w:cs="Arial"/>
          <w:sz w:val="20"/>
          <w:szCs w:val="20"/>
          <w:lang w:eastAsia="en-GB"/>
        </w:rPr>
        <w:t>S</w:t>
      </w:r>
      <w:r w:rsidR="006A31AE" w:rsidRPr="00600C44">
        <w:rPr>
          <w:rFonts w:ascii="Arial" w:eastAsia="Calibri" w:hAnsi="Arial" w:cs="Arial"/>
          <w:sz w:val="20"/>
          <w:szCs w:val="20"/>
          <w:lang w:eastAsia="en-GB"/>
        </w:rPr>
        <w:t>ource: ONS business register and employment survey</w:t>
      </w:r>
    </w:p>
    <w:p w:rsidR="006A31AE" w:rsidRDefault="006A31AE" w:rsidP="006A31AE">
      <w:pPr>
        <w:spacing w:after="0" w:line="240" w:lineRule="auto"/>
        <w:outlineLvl w:val="0"/>
        <w:rPr>
          <w:rFonts w:ascii="Arial" w:eastAsia="Times New Roman" w:hAnsi="Arial" w:cs="Arial"/>
          <w:b/>
          <w:bCs/>
          <w:sz w:val="28"/>
          <w:szCs w:val="24"/>
          <w:lang w:eastAsia="en-GB"/>
        </w:rPr>
      </w:pPr>
    </w:p>
    <w:p w:rsidR="00335B9E" w:rsidRDefault="00335B9E" w:rsidP="006A31AE">
      <w:pPr>
        <w:spacing w:after="0" w:line="240" w:lineRule="auto"/>
        <w:outlineLvl w:val="0"/>
        <w:rPr>
          <w:rFonts w:ascii="Arial" w:eastAsia="Times New Roman" w:hAnsi="Arial" w:cs="Arial"/>
          <w:b/>
          <w:bCs/>
          <w:sz w:val="28"/>
          <w:szCs w:val="24"/>
          <w:lang w:eastAsia="en-GB"/>
        </w:rPr>
      </w:pPr>
    </w:p>
    <w:p w:rsidR="0026664B" w:rsidRDefault="0026664B" w:rsidP="0026664B">
      <w:pPr>
        <w:spacing w:after="200" w:line="276" w:lineRule="auto"/>
        <w:rPr>
          <w:rFonts w:ascii="Arial" w:eastAsia="Calibri" w:hAnsi="Arial" w:cs="Arial"/>
          <w:sz w:val="24"/>
          <w:szCs w:val="24"/>
          <w:lang w:eastAsia="en-GB"/>
        </w:rPr>
      </w:pPr>
      <w:r>
        <w:rPr>
          <w:rFonts w:ascii="Arial" w:eastAsia="Calibri" w:hAnsi="Arial" w:cs="Arial"/>
          <w:sz w:val="24"/>
          <w:szCs w:val="24"/>
          <w:lang w:eastAsia="en-GB"/>
        </w:rPr>
        <w:t>N</w:t>
      </w:r>
      <w:r w:rsidR="006A31AE" w:rsidRPr="006A31AE">
        <w:rPr>
          <w:rFonts w:ascii="Arial" w:eastAsia="Calibri" w:hAnsi="Arial" w:cs="Arial"/>
          <w:sz w:val="24"/>
          <w:szCs w:val="24"/>
          <w:lang w:eastAsia="en-GB"/>
        </w:rPr>
        <w:t xml:space="preserve">early a half (48.5%) of the jobs in Croydon comprise occupations such as managers, directors, senior officials, professional, associate professional &amp; technical staff.  This is not surprising as the Council offices </w:t>
      </w:r>
      <w:r w:rsidR="00BA32D6">
        <w:rPr>
          <w:rFonts w:ascii="Arial" w:eastAsia="Calibri" w:hAnsi="Arial" w:cs="Arial"/>
          <w:sz w:val="24"/>
          <w:szCs w:val="24"/>
          <w:lang w:eastAsia="en-GB"/>
        </w:rPr>
        <w:t xml:space="preserve">and other public sector offices </w:t>
      </w:r>
      <w:r w:rsidR="006A31AE" w:rsidRPr="006A31AE">
        <w:rPr>
          <w:rFonts w:ascii="Arial" w:eastAsia="Calibri" w:hAnsi="Arial" w:cs="Arial"/>
          <w:sz w:val="24"/>
          <w:szCs w:val="24"/>
          <w:lang w:eastAsia="en-GB"/>
        </w:rPr>
        <w:t>are located i</w:t>
      </w:r>
      <w:r>
        <w:rPr>
          <w:rFonts w:ascii="Arial" w:eastAsia="Calibri" w:hAnsi="Arial" w:cs="Arial"/>
          <w:sz w:val="24"/>
          <w:szCs w:val="24"/>
          <w:lang w:eastAsia="en-GB"/>
        </w:rPr>
        <w:t>n Croydon as well as law firms.</w:t>
      </w:r>
    </w:p>
    <w:p w:rsidR="00335B9E" w:rsidRDefault="00335B9E" w:rsidP="0026664B">
      <w:pPr>
        <w:spacing w:after="200" w:line="276" w:lineRule="auto"/>
        <w:rPr>
          <w:rFonts w:ascii="Arial" w:eastAsia="Calibri" w:hAnsi="Arial" w:cs="Arial"/>
          <w:sz w:val="24"/>
          <w:szCs w:val="24"/>
          <w:lang w:eastAsia="en-GB"/>
        </w:rPr>
      </w:pPr>
    </w:p>
    <w:p w:rsidR="00335B9E" w:rsidRDefault="00335B9E" w:rsidP="0026664B">
      <w:pPr>
        <w:spacing w:after="200" w:line="276" w:lineRule="auto"/>
        <w:rPr>
          <w:rFonts w:ascii="Arial" w:eastAsia="Calibri" w:hAnsi="Arial" w:cs="Arial"/>
          <w:sz w:val="24"/>
          <w:szCs w:val="24"/>
          <w:lang w:eastAsia="en-GB"/>
        </w:rPr>
      </w:pPr>
    </w:p>
    <w:p w:rsidR="006A31AE" w:rsidRPr="006A31AE" w:rsidRDefault="006A31AE" w:rsidP="0026664B">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Occupations in the services sector including care, leisure, sales and customer services account for 19.3% of the total occupations in Croydon.  This is higher than the London and national averages.</w:t>
      </w:r>
    </w:p>
    <w:p w:rsidR="006A31AE" w:rsidRPr="006A31AE" w:rsidRDefault="006A31AE" w:rsidP="006A31AE">
      <w:pPr>
        <w:spacing w:after="200" w:line="276" w:lineRule="auto"/>
        <w:rPr>
          <w:rFonts w:ascii="Arial" w:eastAsia="Calibri" w:hAnsi="Arial" w:cs="Arial"/>
          <w:sz w:val="24"/>
          <w:szCs w:val="24"/>
          <w:u w:val="single"/>
          <w:lang w:eastAsia="en-GB"/>
        </w:rPr>
      </w:pPr>
      <w:r w:rsidRPr="006A31AE">
        <w:rPr>
          <w:rFonts w:ascii="Arial" w:eastAsia="Calibri" w:hAnsi="Arial" w:cs="Arial"/>
          <w:sz w:val="24"/>
          <w:szCs w:val="24"/>
          <w:u w:val="single"/>
          <w:lang w:eastAsia="en-GB"/>
        </w:rPr>
        <w:t>Figure 5 – Employment by Occupation for those aged 16+ years, (July 2017-June 2018)</w:t>
      </w:r>
    </w:p>
    <w:p w:rsidR="006A31AE" w:rsidRDefault="006A31AE" w:rsidP="00600C44">
      <w:pPr>
        <w:spacing w:after="0" w:line="240" w:lineRule="auto"/>
        <w:outlineLvl w:val="0"/>
        <w:rPr>
          <w:rFonts w:ascii="Arial" w:eastAsia="Times New Roman" w:hAnsi="Arial" w:cs="Arial"/>
          <w:b/>
          <w:bCs/>
          <w:sz w:val="28"/>
          <w:szCs w:val="24"/>
          <w:lang w:eastAsia="en-GB"/>
        </w:rPr>
      </w:pPr>
      <w:r w:rsidRPr="006A31AE">
        <w:rPr>
          <w:rFonts w:ascii="Arial" w:eastAsia="Times New Roman" w:hAnsi="Arial" w:cs="Arial"/>
          <w:b/>
          <w:bCs/>
          <w:noProof/>
          <w:color w:val="701471"/>
          <w:sz w:val="28"/>
          <w:szCs w:val="24"/>
          <w:lang w:eastAsia="en-GB"/>
        </w:rPr>
        <w:drawing>
          <wp:inline distT="0" distB="0" distL="0" distR="0" wp14:anchorId="20E6BA64" wp14:editId="4E8954E9">
            <wp:extent cx="4099560" cy="3710940"/>
            <wp:effectExtent l="0" t="0" r="15240" b="3810"/>
            <wp:docPr id="2065" name="Chart 206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tbl>
      <w:tblPr>
        <w:tblW w:w="14800" w:type="dxa"/>
        <w:tblLook w:val="04A0" w:firstRow="1" w:lastRow="0" w:firstColumn="1" w:lastColumn="0" w:noHBand="0" w:noVBand="1"/>
      </w:tblPr>
      <w:tblGrid>
        <w:gridCol w:w="14800"/>
      </w:tblGrid>
      <w:tr w:rsidR="006A31AE" w:rsidRPr="006A31AE" w:rsidTr="006A31AE">
        <w:trPr>
          <w:trHeight w:val="288"/>
        </w:trPr>
        <w:tc>
          <w:tcPr>
            <w:tcW w:w="14800" w:type="dxa"/>
            <w:tcBorders>
              <w:top w:val="nil"/>
              <w:left w:val="nil"/>
              <w:bottom w:val="nil"/>
              <w:right w:val="nil"/>
            </w:tcBorders>
            <w:shd w:val="clear" w:color="auto" w:fill="auto"/>
            <w:vAlign w:val="center"/>
            <w:hideMark/>
          </w:tcPr>
          <w:p w:rsidR="006A31AE" w:rsidRPr="00600C44" w:rsidRDefault="006A31AE" w:rsidP="00600C44">
            <w:pPr>
              <w:spacing w:after="0" w:line="240" w:lineRule="auto"/>
              <w:rPr>
                <w:rFonts w:ascii="Calibri" w:eastAsia="Times New Roman" w:hAnsi="Calibri" w:cs="Calibri"/>
                <w:color w:val="000000"/>
                <w:sz w:val="20"/>
                <w:szCs w:val="20"/>
                <w:lang w:eastAsia="en-GB"/>
              </w:rPr>
            </w:pPr>
            <w:r w:rsidRPr="00600C44">
              <w:rPr>
                <w:rFonts w:ascii="Arial" w:eastAsia="Calibri" w:hAnsi="Arial" w:cs="Arial"/>
                <w:sz w:val="20"/>
                <w:szCs w:val="20"/>
                <w:lang w:eastAsia="en-GB"/>
              </w:rPr>
              <w:t>Source: ONS annual population survey</w:t>
            </w:r>
          </w:p>
        </w:tc>
      </w:tr>
    </w:tbl>
    <w:p w:rsidR="006A31AE" w:rsidRDefault="006A31AE" w:rsidP="006A31AE">
      <w:pPr>
        <w:spacing w:after="0" w:line="240" w:lineRule="auto"/>
        <w:outlineLvl w:val="0"/>
        <w:rPr>
          <w:rFonts w:ascii="Arial" w:eastAsia="Times New Roman" w:hAnsi="Arial" w:cs="Arial"/>
          <w:b/>
          <w:bCs/>
          <w:sz w:val="28"/>
          <w:szCs w:val="24"/>
          <w:lang w:eastAsia="en-GB"/>
        </w:rPr>
      </w:pPr>
    </w:p>
    <w:p w:rsidR="007B0710" w:rsidRDefault="007B0710" w:rsidP="006A31AE">
      <w:pPr>
        <w:spacing w:after="0" w:line="240" w:lineRule="auto"/>
        <w:outlineLvl w:val="0"/>
        <w:rPr>
          <w:rFonts w:ascii="Arial" w:eastAsia="Times New Roman" w:hAnsi="Arial" w:cs="Arial"/>
          <w:b/>
          <w:bCs/>
          <w:sz w:val="28"/>
          <w:szCs w:val="24"/>
          <w:lang w:eastAsia="en-GB"/>
        </w:rPr>
      </w:pPr>
    </w:p>
    <w:p w:rsidR="00335B9E" w:rsidRDefault="00335B9E" w:rsidP="006A31AE">
      <w:pPr>
        <w:spacing w:after="0" w:line="240" w:lineRule="auto"/>
        <w:outlineLvl w:val="0"/>
        <w:rPr>
          <w:rFonts w:ascii="Arial" w:eastAsia="Times New Roman" w:hAnsi="Arial" w:cs="Arial"/>
          <w:b/>
          <w:bCs/>
          <w:sz w:val="28"/>
          <w:szCs w:val="24"/>
          <w:lang w:eastAsia="en-GB"/>
        </w:rPr>
      </w:pPr>
    </w:p>
    <w:p w:rsidR="00335B9E" w:rsidRDefault="00335B9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B943F3" w:rsidP="006A31AE">
      <w:pPr>
        <w:spacing w:after="0" w:line="240" w:lineRule="auto"/>
        <w:outlineLvl w:val="0"/>
        <w:rPr>
          <w:rFonts w:ascii="Arial" w:eastAsia="Times New Roman" w:hAnsi="Arial" w:cs="Arial"/>
          <w:b/>
          <w:bCs/>
          <w:color w:val="701471"/>
          <w:sz w:val="28"/>
          <w:szCs w:val="24"/>
          <w:lang w:eastAsia="en-GB"/>
        </w:rPr>
      </w:pPr>
      <w:r>
        <w:rPr>
          <w:rFonts w:ascii="Arial" w:eastAsia="Times New Roman" w:hAnsi="Arial" w:cs="Arial"/>
          <w:b/>
          <w:bCs/>
          <w:color w:val="701471"/>
          <w:sz w:val="28"/>
          <w:szCs w:val="24"/>
          <w:lang w:eastAsia="en-GB"/>
        </w:rPr>
        <w:t>P</w:t>
      </w:r>
      <w:r w:rsidR="006A31AE" w:rsidRPr="006A31AE">
        <w:rPr>
          <w:rFonts w:ascii="Arial" w:eastAsia="Times New Roman" w:hAnsi="Arial" w:cs="Arial"/>
          <w:b/>
          <w:bCs/>
          <w:color w:val="701471"/>
          <w:sz w:val="28"/>
          <w:szCs w:val="24"/>
          <w:lang w:eastAsia="en-GB"/>
        </w:rPr>
        <w:t>eople out of work</w:t>
      </w:r>
    </w:p>
    <w:p w:rsidR="006A31AE" w:rsidRPr="006A31AE" w:rsidRDefault="006A31AE" w:rsidP="006A31AE">
      <w:pPr>
        <w:spacing w:after="0" w:line="240" w:lineRule="auto"/>
        <w:outlineLvl w:val="0"/>
        <w:rPr>
          <w:rFonts w:ascii="Verdana" w:eastAsia="Times New Roman" w:hAnsi="Verdana" w:cs="Arial"/>
          <w:b/>
          <w:bCs/>
          <w:color w:val="333333"/>
          <w:sz w:val="20"/>
          <w:szCs w:val="20"/>
          <w:lang w:val="en" w:eastAsia="en-GB"/>
        </w:rPr>
      </w:pPr>
    </w:p>
    <w:p w:rsidR="008D4CF5" w:rsidRDefault="006A31AE" w:rsidP="006A31AE">
      <w:pPr>
        <w:spacing w:after="0" w:line="240" w:lineRule="auto"/>
        <w:outlineLvl w:val="0"/>
        <w:rPr>
          <w:rFonts w:ascii="Arial" w:eastAsia="Times New Roman" w:hAnsi="Arial" w:cs="Arial"/>
          <w:bCs/>
          <w:sz w:val="24"/>
          <w:szCs w:val="24"/>
          <w:lang w:eastAsia="en-GB"/>
        </w:rPr>
      </w:pPr>
      <w:r w:rsidRPr="006A31AE">
        <w:rPr>
          <w:rFonts w:ascii="Arial" w:eastAsia="Times New Roman" w:hAnsi="Arial" w:cs="Arial"/>
          <w:bCs/>
          <w:sz w:val="24"/>
          <w:szCs w:val="24"/>
          <w:lang w:eastAsia="en-GB"/>
        </w:rPr>
        <w:t>The number of people claiming job seeker’s allowance (JSA) was used to measure the number of people out of work.</w:t>
      </w:r>
    </w:p>
    <w:p w:rsidR="006A31AE" w:rsidRPr="006A31AE" w:rsidRDefault="008D4CF5" w:rsidP="006A31AE">
      <w:pPr>
        <w:spacing w:after="0" w:line="240" w:lineRule="auto"/>
        <w:outlineLvl w:val="0"/>
        <w:rPr>
          <w:rFonts w:ascii="Arial" w:eastAsia="Times New Roman" w:hAnsi="Arial" w:cs="Arial"/>
          <w:bCs/>
          <w:sz w:val="24"/>
          <w:szCs w:val="24"/>
          <w:lang w:eastAsia="en-GB"/>
        </w:rPr>
      </w:pPr>
      <w:r>
        <w:rPr>
          <w:rFonts w:ascii="Arial" w:eastAsia="Times New Roman" w:hAnsi="Arial" w:cs="Arial"/>
          <w:bCs/>
          <w:sz w:val="24"/>
          <w:szCs w:val="24"/>
          <w:lang w:eastAsia="en-GB"/>
        </w:rPr>
        <w:t>S</w:t>
      </w:r>
      <w:r w:rsidR="006A31AE" w:rsidRPr="006A31AE">
        <w:rPr>
          <w:rFonts w:ascii="Arial" w:eastAsia="Times New Roman" w:hAnsi="Arial" w:cs="Arial"/>
          <w:bCs/>
          <w:sz w:val="24"/>
          <w:szCs w:val="24"/>
          <w:lang w:eastAsia="en-GB"/>
        </w:rPr>
        <w:t xml:space="preserve">ince the introduction of Universal Credit, the JSA counts have not proved to be very reliable.  As a result, the </w:t>
      </w:r>
    </w:p>
    <w:p w:rsidR="006A31AE" w:rsidRPr="006A31AE" w:rsidRDefault="008D4CF5" w:rsidP="006A31AE">
      <w:pPr>
        <w:spacing w:after="0" w:line="240" w:lineRule="auto"/>
        <w:outlineLvl w:val="0"/>
        <w:rPr>
          <w:rFonts w:ascii="Arial" w:eastAsia="Times New Roman" w:hAnsi="Arial" w:cs="Arial"/>
          <w:bCs/>
          <w:sz w:val="24"/>
          <w:szCs w:val="24"/>
          <w:lang w:eastAsia="en-GB"/>
        </w:rPr>
      </w:pPr>
      <w:r>
        <w:rPr>
          <w:rFonts w:ascii="Arial" w:eastAsia="Times New Roman" w:hAnsi="Arial" w:cs="Arial"/>
          <w:bCs/>
          <w:sz w:val="24"/>
          <w:szCs w:val="24"/>
          <w:lang w:eastAsia="en-GB"/>
        </w:rPr>
        <w:t>Claimants of out of work benefits have</w:t>
      </w:r>
      <w:r w:rsidR="006A31AE" w:rsidRPr="006A31AE">
        <w:rPr>
          <w:rFonts w:ascii="Arial" w:eastAsia="Times New Roman" w:hAnsi="Arial" w:cs="Arial"/>
          <w:bCs/>
          <w:sz w:val="24"/>
          <w:szCs w:val="24"/>
          <w:lang w:eastAsia="en-GB"/>
        </w:rPr>
        <w:t xml:space="preserve"> been adopted as a more mea</w:t>
      </w:r>
      <w:r>
        <w:rPr>
          <w:rFonts w:ascii="Arial" w:eastAsia="Times New Roman" w:hAnsi="Arial" w:cs="Arial"/>
          <w:bCs/>
          <w:sz w:val="24"/>
          <w:szCs w:val="24"/>
          <w:lang w:eastAsia="en-GB"/>
        </w:rPr>
        <w:t xml:space="preserve">ningful measure. </w:t>
      </w:r>
      <w:r w:rsidR="006A31AE" w:rsidRPr="006A31AE">
        <w:rPr>
          <w:rFonts w:ascii="Arial" w:eastAsia="Times New Roman" w:hAnsi="Arial" w:cs="Arial"/>
          <w:bCs/>
          <w:sz w:val="24"/>
          <w:szCs w:val="24"/>
          <w:lang w:eastAsia="en-GB"/>
        </w:rPr>
        <w:t xml:space="preserve">This records the number of people claiming benefit principally for the reason of being unemployed. It combines the number of people claiming Jobseeker's Allowance (JSA) and National Insurance credits with the number of people receiving Universal Credit as a result of being unemployed. </w:t>
      </w:r>
    </w:p>
    <w:p w:rsidR="006A31AE" w:rsidRDefault="006A31AE" w:rsidP="006A31AE">
      <w:pPr>
        <w:spacing w:after="0" w:line="240" w:lineRule="auto"/>
        <w:outlineLvl w:val="0"/>
        <w:rPr>
          <w:rFonts w:ascii="Arial" w:eastAsia="Times New Roman" w:hAnsi="Arial" w:cs="Arial"/>
          <w:bCs/>
          <w:sz w:val="24"/>
          <w:szCs w:val="24"/>
          <w:lang w:eastAsia="en-GB"/>
        </w:rPr>
      </w:pPr>
    </w:p>
    <w:p w:rsidR="00335B9E" w:rsidRDefault="00335B9E" w:rsidP="006A31AE">
      <w:pPr>
        <w:spacing w:after="0" w:line="240" w:lineRule="auto"/>
        <w:outlineLvl w:val="0"/>
        <w:rPr>
          <w:rFonts w:ascii="Arial" w:eastAsia="Times New Roman" w:hAnsi="Arial" w:cs="Arial"/>
          <w:bCs/>
          <w:sz w:val="24"/>
          <w:szCs w:val="24"/>
          <w:lang w:eastAsia="en-GB"/>
        </w:rPr>
      </w:pPr>
    </w:p>
    <w:p w:rsidR="006A31AE" w:rsidRPr="006A31AE" w:rsidRDefault="006A31AE" w:rsidP="006A31AE">
      <w:pPr>
        <w:spacing w:after="0" w:line="240" w:lineRule="auto"/>
        <w:outlineLvl w:val="0"/>
        <w:rPr>
          <w:rFonts w:ascii="Arial" w:eastAsia="Times New Roman" w:hAnsi="Arial" w:cs="Arial"/>
          <w:bCs/>
          <w:sz w:val="24"/>
          <w:szCs w:val="24"/>
          <w:lang w:eastAsia="en-GB"/>
        </w:rPr>
      </w:pPr>
      <w:r w:rsidRPr="006A31AE">
        <w:rPr>
          <w:rFonts w:ascii="Arial" w:eastAsia="Times New Roman" w:hAnsi="Arial" w:cs="Arial"/>
          <w:bCs/>
          <w:sz w:val="24"/>
          <w:szCs w:val="24"/>
          <w:lang w:eastAsia="en-GB"/>
        </w:rPr>
        <w:t xml:space="preserve">The number of people claiming out of work benefits has fallen steadily since the end of the recession. Figure </w:t>
      </w:r>
      <w:r w:rsidR="0026664B">
        <w:rPr>
          <w:rFonts w:ascii="Arial" w:eastAsia="Times New Roman" w:hAnsi="Arial" w:cs="Arial"/>
          <w:bCs/>
          <w:sz w:val="24"/>
          <w:szCs w:val="24"/>
          <w:lang w:eastAsia="en-GB"/>
        </w:rPr>
        <w:t>6</w:t>
      </w:r>
      <w:r w:rsidRPr="006A31AE">
        <w:rPr>
          <w:rFonts w:ascii="Arial" w:eastAsia="Times New Roman" w:hAnsi="Arial" w:cs="Arial"/>
          <w:bCs/>
          <w:sz w:val="24"/>
          <w:szCs w:val="24"/>
          <w:lang w:eastAsia="en-GB"/>
        </w:rPr>
        <w:t xml:space="preserve"> shows that the rate of decrease has been in line with the regional and national averages but the latest figure for November 2016, shows that there has been a drop in the number of claimants in Croydon.  This may be the result of the Council Gateway services helping people to work.</w:t>
      </w:r>
    </w:p>
    <w:p w:rsidR="00B943F3" w:rsidRDefault="00B943F3" w:rsidP="006A31AE">
      <w:pPr>
        <w:spacing w:after="0" w:line="240" w:lineRule="auto"/>
        <w:outlineLvl w:val="0"/>
        <w:rPr>
          <w:rFonts w:ascii="Arial" w:eastAsia="Times New Roman" w:hAnsi="Arial" w:cs="Arial"/>
          <w:bCs/>
          <w:sz w:val="24"/>
          <w:szCs w:val="24"/>
          <w:lang w:eastAsia="en-GB"/>
        </w:rPr>
      </w:pPr>
    </w:p>
    <w:p w:rsidR="00335B9E" w:rsidRDefault="00335B9E" w:rsidP="006A31AE">
      <w:pPr>
        <w:spacing w:after="0" w:line="240" w:lineRule="auto"/>
        <w:outlineLvl w:val="0"/>
        <w:rPr>
          <w:rFonts w:ascii="Arial" w:eastAsia="Times New Roman" w:hAnsi="Arial" w:cs="Arial"/>
          <w:bCs/>
          <w:sz w:val="24"/>
          <w:szCs w:val="24"/>
          <w:lang w:eastAsia="en-GB"/>
        </w:rPr>
      </w:pPr>
    </w:p>
    <w:p w:rsidR="00335B9E" w:rsidRDefault="00335B9E" w:rsidP="006A31AE">
      <w:pPr>
        <w:spacing w:after="0" w:line="240" w:lineRule="auto"/>
        <w:outlineLvl w:val="0"/>
        <w:rPr>
          <w:rFonts w:ascii="Arial" w:eastAsia="Times New Roman" w:hAnsi="Arial" w:cs="Arial"/>
          <w:bCs/>
          <w:sz w:val="24"/>
          <w:szCs w:val="24"/>
          <w:lang w:eastAsia="en-GB"/>
        </w:rPr>
      </w:pPr>
    </w:p>
    <w:p w:rsidR="00335B9E" w:rsidRDefault="00335B9E" w:rsidP="006A31AE">
      <w:pPr>
        <w:spacing w:after="0" w:line="240" w:lineRule="auto"/>
        <w:outlineLvl w:val="0"/>
        <w:rPr>
          <w:rFonts w:ascii="Arial" w:eastAsia="Times New Roman" w:hAnsi="Arial" w:cs="Arial"/>
          <w:bCs/>
          <w:sz w:val="24"/>
          <w:szCs w:val="24"/>
          <w:lang w:eastAsia="en-GB"/>
        </w:rPr>
      </w:pPr>
    </w:p>
    <w:p w:rsidR="00335B9E" w:rsidRDefault="00335B9E" w:rsidP="006A31AE">
      <w:pPr>
        <w:spacing w:after="0" w:line="240" w:lineRule="auto"/>
        <w:outlineLvl w:val="0"/>
        <w:rPr>
          <w:rFonts w:ascii="Arial" w:eastAsia="Times New Roman" w:hAnsi="Arial" w:cs="Arial"/>
          <w:bCs/>
          <w:sz w:val="24"/>
          <w:szCs w:val="24"/>
          <w:lang w:eastAsia="en-GB"/>
        </w:rPr>
      </w:pPr>
    </w:p>
    <w:p w:rsidR="00335B9E" w:rsidRDefault="00335B9E" w:rsidP="006A31AE">
      <w:pPr>
        <w:spacing w:after="0" w:line="240" w:lineRule="auto"/>
        <w:outlineLvl w:val="0"/>
        <w:rPr>
          <w:rFonts w:ascii="Arial" w:eastAsia="Times New Roman" w:hAnsi="Arial" w:cs="Arial"/>
          <w:bCs/>
          <w:sz w:val="24"/>
          <w:szCs w:val="24"/>
          <w:lang w:eastAsia="en-GB"/>
        </w:rPr>
      </w:pPr>
    </w:p>
    <w:p w:rsidR="00335B9E" w:rsidRDefault="00335B9E" w:rsidP="006A31AE">
      <w:pPr>
        <w:spacing w:after="0" w:line="240" w:lineRule="auto"/>
        <w:rPr>
          <w:rFonts w:ascii="Arial" w:eastAsia="Calibri" w:hAnsi="Arial" w:cs="Arial"/>
          <w:sz w:val="24"/>
          <w:szCs w:val="24"/>
          <w:u w:val="single"/>
          <w:lang w:eastAsia="en-GB"/>
        </w:rPr>
      </w:pPr>
    </w:p>
    <w:p w:rsidR="0066029F" w:rsidRDefault="0066029F" w:rsidP="006A31AE">
      <w:pPr>
        <w:spacing w:after="0" w:line="240" w:lineRule="auto"/>
        <w:rPr>
          <w:rFonts w:ascii="Arial" w:eastAsia="Calibri" w:hAnsi="Arial" w:cs="Arial"/>
          <w:sz w:val="24"/>
          <w:szCs w:val="24"/>
          <w:u w:val="single"/>
          <w:lang w:eastAsia="en-GB"/>
        </w:rPr>
      </w:pPr>
    </w:p>
    <w:p w:rsidR="0066029F" w:rsidRDefault="0066029F" w:rsidP="006A31AE">
      <w:pPr>
        <w:spacing w:after="0" w:line="240" w:lineRule="auto"/>
        <w:rPr>
          <w:rFonts w:ascii="Arial" w:eastAsia="Calibri" w:hAnsi="Arial" w:cs="Arial"/>
          <w:sz w:val="24"/>
          <w:szCs w:val="24"/>
          <w:u w:val="single"/>
          <w:lang w:eastAsia="en-GB"/>
        </w:rPr>
      </w:pPr>
    </w:p>
    <w:p w:rsidR="006A31AE" w:rsidRPr="006A31AE" w:rsidRDefault="006A31AE" w:rsidP="006A31AE">
      <w:pPr>
        <w:spacing w:after="0" w:line="240" w:lineRule="auto"/>
        <w:rPr>
          <w:rFonts w:ascii="Arial" w:eastAsia="Calibri" w:hAnsi="Arial" w:cs="Arial"/>
          <w:sz w:val="24"/>
          <w:szCs w:val="24"/>
          <w:u w:val="single"/>
          <w:lang w:eastAsia="en-GB"/>
        </w:rPr>
      </w:pPr>
      <w:r w:rsidRPr="006A31AE">
        <w:rPr>
          <w:rFonts w:ascii="Arial" w:eastAsia="Calibri" w:hAnsi="Arial" w:cs="Arial"/>
          <w:sz w:val="24"/>
          <w:szCs w:val="24"/>
          <w:u w:val="single"/>
          <w:lang w:eastAsia="en-GB"/>
        </w:rPr>
        <w:t>Figure 6 – Proportion of out of work claimants</w:t>
      </w:r>
    </w:p>
    <w:p w:rsidR="006A31AE" w:rsidRPr="006A31AE" w:rsidRDefault="006A31AE" w:rsidP="00600C44">
      <w:pPr>
        <w:spacing w:after="0" w:line="276" w:lineRule="auto"/>
        <w:rPr>
          <w:rFonts w:ascii="Arial" w:eastAsia="Calibri" w:hAnsi="Arial" w:cs="Arial"/>
          <w:noProof/>
          <w:sz w:val="24"/>
          <w:szCs w:val="24"/>
          <w:lang w:eastAsia="en-GB"/>
        </w:rPr>
      </w:pPr>
      <w:r w:rsidRPr="006A31AE">
        <w:rPr>
          <w:rFonts w:ascii="Arial" w:eastAsia="Calibri" w:hAnsi="Arial" w:cs="Arial"/>
          <w:noProof/>
          <w:sz w:val="24"/>
          <w:szCs w:val="24"/>
          <w:lang w:eastAsia="en-GB"/>
        </w:rPr>
        <w:drawing>
          <wp:inline distT="0" distB="0" distL="0" distR="0" wp14:anchorId="058B4C89" wp14:editId="4C03C7BC">
            <wp:extent cx="4043680" cy="2519680"/>
            <wp:effectExtent l="0" t="0" r="13970" b="13970"/>
            <wp:docPr id="311" name="Chart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p>
    <w:p w:rsidR="006A31AE" w:rsidRDefault="006A31AE" w:rsidP="00600C44">
      <w:pPr>
        <w:spacing w:after="0" w:line="240" w:lineRule="auto"/>
        <w:rPr>
          <w:rFonts w:ascii="Arial" w:eastAsia="Calibri" w:hAnsi="Arial" w:cs="Arial"/>
          <w:i/>
          <w:sz w:val="24"/>
          <w:szCs w:val="24"/>
          <w:lang w:eastAsia="en-GB"/>
        </w:rPr>
      </w:pPr>
      <w:r w:rsidRPr="006A31AE">
        <w:rPr>
          <w:rFonts w:ascii="Arial" w:eastAsia="Calibri" w:hAnsi="Arial" w:cs="Arial"/>
          <w:i/>
          <w:sz w:val="24"/>
          <w:szCs w:val="24"/>
          <w:lang w:eastAsia="en-GB"/>
        </w:rPr>
        <w:t>Source: ONS claimant count</w:t>
      </w:r>
    </w:p>
    <w:p w:rsidR="008D4CF5" w:rsidRDefault="008D4CF5" w:rsidP="006A31AE">
      <w:pPr>
        <w:spacing w:after="0" w:line="240" w:lineRule="auto"/>
        <w:rPr>
          <w:rFonts w:ascii="Arial" w:eastAsia="Calibri" w:hAnsi="Arial" w:cs="Arial"/>
          <w:i/>
          <w:sz w:val="24"/>
          <w:szCs w:val="24"/>
          <w:lang w:eastAsia="en-GB"/>
        </w:rPr>
      </w:pPr>
    </w:p>
    <w:p w:rsidR="001356B1" w:rsidRDefault="001356B1" w:rsidP="006A31AE">
      <w:pPr>
        <w:spacing w:after="0" w:line="240" w:lineRule="auto"/>
        <w:rPr>
          <w:rFonts w:ascii="Arial" w:eastAsia="Calibri" w:hAnsi="Arial" w:cs="Arial"/>
          <w:i/>
          <w:sz w:val="24"/>
          <w:szCs w:val="24"/>
          <w:lang w:eastAsia="en-GB"/>
        </w:rPr>
      </w:pPr>
    </w:p>
    <w:p w:rsidR="00596A1A" w:rsidRDefault="00596A1A" w:rsidP="006A31AE">
      <w:pPr>
        <w:spacing w:after="0" w:line="240" w:lineRule="auto"/>
        <w:rPr>
          <w:rFonts w:ascii="Arial" w:eastAsia="Calibri" w:hAnsi="Arial" w:cs="Arial"/>
          <w:i/>
          <w:sz w:val="24"/>
          <w:szCs w:val="24"/>
          <w:lang w:eastAsia="en-GB"/>
        </w:rPr>
      </w:pPr>
    </w:p>
    <w:p w:rsidR="00596A1A" w:rsidRDefault="00596A1A" w:rsidP="006A31AE">
      <w:pPr>
        <w:spacing w:after="0" w:line="240" w:lineRule="auto"/>
        <w:rPr>
          <w:rFonts w:ascii="Arial" w:eastAsia="Calibri" w:hAnsi="Arial" w:cs="Arial"/>
          <w:i/>
          <w:sz w:val="24"/>
          <w:szCs w:val="24"/>
          <w:lang w:eastAsia="en-GB"/>
        </w:rPr>
      </w:pPr>
    </w:p>
    <w:p w:rsidR="00272B9F" w:rsidRPr="006A31AE" w:rsidRDefault="008F22A2" w:rsidP="00272B9F">
      <w:pPr>
        <w:spacing w:after="0" w:line="240" w:lineRule="auto"/>
        <w:outlineLvl w:val="0"/>
        <w:rPr>
          <w:rFonts w:ascii="Arial" w:eastAsia="Times New Roman" w:hAnsi="Arial" w:cs="Arial"/>
          <w:b/>
          <w:bCs/>
          <w:color w:val="701471"/>
          <w:sz w:val="28"/>
          <w:szCs w:val="24"/>
          <w:lang w:eastAsia="en-GB"/>
        </w:rPr>
      </w:pPr>
      <w:r>
        <w:rPr>
          <w:rFonts w:ascii="Arial" w:eastAsia="Times New Roman" w:hAnsi="Arial" w:cs="Arial"/>
          <w:b/>
          <w:bCs/>
          <w:color w:val="701471"/>
          <w:sz w:val="28"/>
          <w:szCs w:val="24"/>
          <w:lang w:eastAsia="en-GB"/>
        </w:rPr>
        <w:t>A</w:t>
      </w:r>
      <w:r w:rsidR="00272B9F" w:rsidRPr="006A31AE">
        <w:rPr>
          <w:rFonts w:ascii="Arial" w:eastAsia="Times New Roman" w:hAnsi="Arial" w:cs="Arial"/>
          <w:b/>
          <w:bCs/>
          <w:color w:val="701471"/>
          <w:sz w:val="28"/>
          <w:szCs w:val="24"/>
          <w:lang w:eastAsia="en-GB"/>
        </w:rPr>
        <w:t>pprenticeships</w:t>
      </w:r>
    </w:p>
    <w:p w:rsidR="00272B9F" w:rsidRPr="006A31AE" w:rsidRDefault="00272B9F" w:rsidP="00272B9F">
      <w:pPr>
        <w:spacing w:after="0" w:line="240" w:lineRule="auto"/>
        <w:outlineLvl w:val="0"/>
        <w:rPr>
          <w:rFonts w:ascii="Arial" w:eastAsia="Times New Roman" w:hAnsi="Arial" w:cs="Arial"/>
          <w:b/>
          <w:bCs/>
          <w:color w:val="701471"/>
          <w:sz w:val="28"/>
          <w:szCs w:val="24"/>
          <w:lang w:eastAsia="en-GB"/>
        </w:rPr>
      </w:pPr>
    </w:p>
    <w:p w:rsidR="00272B9F" w:rsidRPr="006A31AE" w:rsidRDefault="00272B9F" w:rsidP="00272B9F">
      <w:pPr>
        <w:spacing w:after="200" w:line="276" w:lineRule="auto"/>
        <w:rPr>
          <w:rFonts w:ascii="Arial" w:eastAsia="Calibri" w:hAnsi="Arial" w:cs="Arial"/>
          <w:sz w:val="24"/>
          <w:szCs w:val="24"/>
        </w:rPr>
      </w:pPr>
      <w:r w:rsidRPr="006A31AE">
        <w:rPr>
          <w:rFonts w:ascii="Arial" w:eastAsia="Calibri" w:hAnsi="Arial" w:cs="Arial"/>
          <w:sz w:val="24"/>
          <w:szCs w:val="24"/>
        </w:rPr>
        <w:t>The number of apprenticeship framework achievements have been increasing in Croydon for years. The 2016/2017 figures for programme starts by local authority is the latest data available.</w:t>
      </w:r>
    </w:p>
    <w:p w:rsidR="00272B9F" w:rsidRDefault="00272B9F" w:rsidP="00272B9F">
      <w:pPr>
        <w:spacing w:after="200" w:line="276" w:lineRule="auto"/>
        <w:rPr>
          <w:rFonts w:ascii="Arial" w:eastAsia="Calibri" w:hAnsi="Arial" w:cs="Arial"/>
          <w:sz w:val="24"/>
          <w:szCs w:val="24"/>
        </w:rPr>
      </w:pPr>
      <w:r w:rsidRPr="006A31AE">
        <w:rPr>
          <w:rFonts w:ascii="Arial" w:eastAsia="Calibri" w:hAnsi="Arial" w:cs="Arial"/>
          <w:sz w:val="24"/>
          <w:szCs w:val="24"/>
        </w:rPr>
        <w:t>With 2,330 new apprenticeship starts during 2016/2017, Croydon has the second highest proportion of new apprentices in that year at 5.5% behind only Newham (5.7%).  This compares to the London average of 3.0%.</w:t>
      </w:r>
    </w:p>
    <w:p w:rsidR="007B0710" w:rsidRDefault="007B0710" w:rsidP="009555D3">
      <w:pPr>
        <w:spacing w:after="0" w:line="240" w:lineRule="auto"/>
        <w:rPr>
          <w:rFonts w:ascii="Arial" w:eastAsia="Calibri" w:hAnsi="Arial" w:cs="Arial"/>
          <w:sz w:val="24"/>
          <w:szCs w:val="24"/>
          <w:u w:val="single"/>
          <w:lang w:eastAsia="en-GB"/>
        </w:rPr>
      </w:pPr>
      <w:bookmarkStart w:id="14" w:name="_Skill_levels_of"/>
      <w:bookmarkEnd w:id="14"/>
    </w:p>
    <w:p w:rsidR="00E1567D" w:rsidRDefault="00E1567D" w:rsidP="009555D3">
      <w:pPr>
        <w:spacing w:after="0" w:line="240" w:lineRule="auto"/>
        <w:rPr>
          <w:rFonts w:ascii="Arial" w:eastAsia="Calibri" w:hAnsi="Arial" w:cs="Arial"/>
          <w:sz w:val="24"/>
          <w:szCs w:val="24"/>
          <w:u w:val="single"/>
          <w:lang w:eastAsia="en-GB"/>
        </w:rPr>
      </w:pPr>
    </w:p>
    <w:p w:rsidR="00E1567D" w:rsidRDefault="00E1567D" w:rsidP="009555D3">
      <w:pPr>
        <w:spacing w:after="0" w:line="240" w:lineRule="auto"/>
        <w:rPr>
          <w:rFonts w:ascii="Arial" w:eastAsia="Calibri" w:hAnsi="Arial" w:cs="Arial"/>
          <w:sz w:val="24"/>
          <w:szCs w:val="24"/>
          <w:u w:val="single"/>
          <w:lang w:eastAsia="en-GB"/>
        </w:rPr>
      </w:pPr>
    </w:p>
    <w:p w:rsidR="00E1567D" w:rsidRDefault="00E1567D" w:rsidP="009555D3">
      <w:pPr>
        <w:spacing w:after="0" w:line="240" w:lineRule="auto"/>
        <w:rPr>
          <w:rFonts w:ascii="Arial" w:eastAsia="Calibri" w:hAnsi="Arial" w:cs="Arial"/>
          <w:sz w:val="24"/>
          <w:szCs w:val="24"/>
          <w:u w:val="single"/>
          <w:lang w:eastAsia="en-GB"/>
        </w:rPr>
      </w:pPr>
    </w:p>
    <w:p w:rsidR="00272B9F" w:rsidRPr="009555D3" w:rsidRDefault="009555D3" w:rsidP="009555D3">
      <w:pPr>
        <w:spacing w:after="0" w:line="240" w:lineRule="auto"/>
        <w:rPr>
          <w:rFonts w:ascii="Arial" w:eastAsia="Calibri" w:hAnsi="Arial" w:cs="Arial"/>
          <w:sz w:val="24"/>
          <w:szCs w:val="24"/>
          <w:u w:val="single"/>
          <w:lang w:eastAsia="en-GB"/>
        </w:rPr>
      </w:pPr>
      <w:r w:rsidRPr="009555D3">
        <w:rPr>
          <w:rFonts w:ascii="Arial" w:eastAsia="Calibri" w:hAnsi="Arial" w:cs="Arial"/>
          <w:sz w:val="24"/>
          <w:szCs w:val="24"/>
          <w:u w:val="single"/>
          <w:lang w:eastAsia="en-GB"/>
        </w:rPr>
        <w:t xml:space="preserve">Figure 7- New apprenticeship starts during 2016/2017 broken down by London councils </w:t>
      </w:r>
    </w:p>
    <w:p w:rsidR="009555D3" w:rsidRDefault="009555D3" w:rsidP="00272B9F">
      <w:pPr>
        <w:spacing w:after="0" w:line="240" w:lineRule="auto"/>
        <w:outlineLvl w:val="0"/>
        <w:rPr>
          <w:rFonts w:ascii="Arial" w:eastAsia="Times New Roman" w:hAnsi="Arial" w:cs="Arial"/>
          <w:b/>
          <w:bCs/>
          <w:color w:val="701471"/>
          <w:sz w:val="28"/>
          <w:szCs w:val="24"/>
          <w:lang w:eastAsia="en-GB"/>
        </w:rPr>
      </w:pPr>
    </w:p>
    <w:p w:rsidR="009555D3" w:rsidRPr="00600C44" w:rsidRDefault="001356B1" w:rsidP="009555D3">
      <w:pPr>
        <w:spacing w:after="0" w:line="240" w:lineRule="auto"/>
        <w:rPr>
          <w:rFonts w:ascii="Arial" w:eastAsia="Calibri" w:hAnsi="Arial" w:cs="Arial"/>
          <w:i/>
          <w:sz w:val="20"/>
          <w:szCs w:val="20"/>
          <w:lang w:eastAsia="en-GB"/>
        </w:rPr>
      </w:pPr>
      <w:r>
        <w:rPr>
          <w:noProof/>
          <w:lang w:eastAsia="en-GB"/>
        </w:rPr>
        <w:drawing>
          <wp:inline distT="0" distB="0" distL="0" distR="0" wp14:anchorId="32E8F43C" wp14:editId="2DEE5E31">
            <wp:extent cx="4321629" cy="2999740"/>
            <wp:effectExtent l="0" t="0" r="3175" b="10160"/>
            <wp:docPr id="1035" name="Chart 10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r w:rsidR="009555D3" w:rsidRPr="00600C44">
        <w:rPr>
          <w:rFonts w:ascii="Arial" w:eastAsia="Calibri" w:hAnsi="Arial" w:cs="Arial"/>
          <w:i/>
          <w:sz w:val="20"/>
          <w:szCs w:val="20"/>
          <w:lang w:eastAsia="en-GB"/>
        </w:rPr>
        <w:t>Source : gov.uk</w:t>
      </w:r>
    </w:p>
    <w:p w:rsidR="008F22A2" w:rsidRDefault="008F22A2" w:rsidP="00272B9F">
      <w:pPr>
        <w:spacing w:after="0" w:line="240" w:lineRule="auto"/>
        <w:outlineLvl w:val="0"/>
        <w:rPr>
          <w:rFonts w:ascii="Arial" w:eastAsia="Times New Roman" w:hAnsi="Arial" w:cs="Arial"/>
          <w:b/>
          <w:bCs/>
          <w:color w:val="701471"/>
          <w:sz w:val="28"/>
          <w:szCs w:val="24"/>
          <w:lang w:eastAsia="en-GB"/>
        </w:rPr>
      </w:pPr>
    </w:p>
    <w:p w:rsidR="00F95BE3" w:rsidRDefault="00F95BE3" w:rsidP="00272B9F">
      <w:pPr>
        <w:spacing w:after="0" w:line="240" w:lineRule="auto"/>
        <w:outlineLvl w:val="0"/>
        <w:rPr>
          <w:rFonts w:ascii="Arial" w:eastAsia="Times New Roman" w:hAnsi="Arial" w:cs="Arial"/>
          <w:b/>
          <w:bCs/>
          <w:color w:val="701471"/>
          <w:sz w:val="28"/>
          <w:szCs w:val="24"/>
          <w:lang w:eastAsia="en-GB"/>
        </w:rPr>
      </w:pPr>
    </w:p>
    <w:p w:rsidR="00E1567D" w:rsidRDefault="00E1567D" w:rsidP="00272B9F">
      <w:pPr>
        <w:spacing w:after="0" w:line="240" w:lineRule="auto"/>
        <w:outlineLvl w:val="0"/>
        <w:rPr>
          <w:rFonts w:ascii="Arial" w:eastAsia="Times New Roman" w:hAnsi="Arial" w:cs="Arial"/>
          <w:b/>
          <w:bCs/>
          <w:color w:val="701471"/>
          <w:sz w:val="28"/>
          <w:szCs w:val="24"/>
          <w:lang w:eastAsia="en-GB"/>
        </w:rPr>
      </w:pPr>
    </w:p>
    <w:p w:rsidR="00E1567D" w:rsidRDefault="00E1567D" w:rsidP="00272B9F">
      <w:pPr>
        <w:spacing w:after="0" w:line="240" w:lineRule="auto"/>
        <w:outlineLvl w:val="0"/>
        <w:rPr>
          <w:rFonts w:ascii="Arial" w:eastAsia="Times New Roman" w:hAnsi="Arial" w:cs="Arial"/>
          <w:b/>
          <w:bCs/>
          <w:color w:val="701471"/>
          <w:sz w:val="28"/>
          <w:szCs w:val="24"/>
          <w:lang w:eastAsia="en-GB"/>
        </w:rPr>
      </w:pPr>
    </w:p>
    <w:p w:rsidR="00E1567D" w:rsidRDefault="00E1567D" w:rsidP="00272B9F">
      <w:pPr>
        <w:spacing w:after="0" w:line="240" w:lineRule="auto"/>
        <w:outlineLvl w:val="0"/>
        <w:rPr>
          <w:rFonts w:ascii="Arial" w:eastAsia="Times New Roman" w:hAnsi="Arial" w:cs="Arial"/>
          <w:b/>
          <w:bCs/>
          <w:color w:val="701471"/>
          <w:sz w:val="28"/>
          <w:szCs w:val="24"/>
          <w:lang w:eastAsia="en-GB"/>
        </w:rPr>
      </w:pPr>
    </w:p>
    <w:p w:rsidR="00272B9F" w:rsidRPr="006A31AE" w:rsidRDefault="008F22A2" w:rsidP="00272B9F">
      <w:pPr>
        <w:spacing w:after="0" w:line="240" w:lineRule="auto"/>
        <w:outlineLvl w:val="0"/>
        <w:rPr>
          <w:rFonts w:ascii="Arial" w:eastAsia="Times New Roman" w:hAnsi="Arial" w:cs="Arial"/>
          <w:b/>
          <w:bCs/>
          <w:color w:val="701471"/>
          <w:sz w:val="28"/>
          <w:szCs w:val="24"/>
          <w:lang w:eastAsia="en-GB"/>
        </w:rPr>
      </w:pPr>
      <w:r>
        <w:rPr>
          <w:rFonts w:ascii="Arial" w:eastAsia="Times New Roman" w:hAnsi="Arial" w:cs="Arial"/>
          <w:b/>
          <w:bCs/>
          <w:color w:val="701471"/>
          <w:sz w:val="28"/>
          <w:szCs w:val="24"/>
          <w:lang w:eastAsia="en-GB"/>
        </w:rPr>
        <w:t>S</w:t>
      </w:r>
      <w:r w:rsidR="00272B9F" w:rsidRPr="006A31AE">
        <w:rPr>
          <w:rFonts w:ascii="Arial" w:eastAsia="Times New Roman" w:hAnsi="Arial" w:cs="Arial"/>
          <w:b/>
          <w:bCs/>
          <w:color w:val="701471"/>
          <w:sz w:val="28"/>
          <w:szCs w:val="24"/>
          <w:lang w:eastAsia="en-GB"/>
        </w:rPr>
        <w:t>kill levels of adults</w:t>
      </w:r>
    </w:p>
    <w:p w:rsidR="00272B9F" w:rsidRPr="006A31AE" w:rsidRDefault="00272B9F" w:rsidP="00272B9F">
      <w:pPr>
        <w:spacing w:after="0" w:line="240" w:lineRule="auto"/>
        <w:outlineLvl w:val="0"/>
        <w:rPr>
          <w:rFonts w:ascii="Arial" w:eastAsia="Times New Roman" w:hAnsi="Arial" w:cs="Arial"/>
          <w:b/>
          <w:bCs/>
          <w:color w:val="701471"/>
          <w:sz w:val="28"/>
          <w:szCs w:val="24"/>
          <w:lang w:eastAsia="en-GB"/>
        </w:rPr>
      </w:pPr>
    </w:p>
    <w:p w:rsidR="00272B9F" w:rsidRPr="006A31AE" w:rsidRDefault="00272B9F" w:rsidP="00272B9F">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No qualifications</w:t>
      </w:r>
    </w:p>
    <w:p w:rsidR="00272B9F" w:rsidRPr="006A31AE" w:rsidRDefault="00272B9F" w:rsidP="00272B9F">
      <w:pPr>
        <w:spacing w:after="0" w:line="276" w:lineRule="auto"/>
        <w:rPr>
          <w:rFonts w:ascii="Arial" w:eastAsia="Calibri" w:hAnsi="Arial" w:cs="Arial"/>
          <w:sz w:val="24"/>
          <w:szCs w:val="24"/>
          <w:lang w:eastAsia="en-GB"/>
        </w:rPr>
      </w:pPr>
    </w:p>
    <w:p w:rsidR="00E83A40" w:rsidRDefault="00A569F6" w:rsidP="00272B9F">
      <w:pPr>
        <w:spacing w:after="200" w:line="276" w:lineRule="auto"/>
        <w:rPr>
          <w:rFonts w:ascii="Arial" w:eastAsia="Calibri" w:hAnsi="Arial" w:cs="Arial"/>
          <w:sz w:val="24"/>
          <w:szCs w:val="24"/>
          <w:lang w:eastAsia="en-GB"/>
        </w:rPr>
      </w:pPr>
      <w:r>
        <w:rPr>
          <w:rFonts w:ascii="Arial" w:eastAsia="Calibri" w:hAnsi="Arial" w:cs="Arial"/>
          <w:sz w:val="24"/>
          <w:szCs w:val="24"/>
          <w:lang w:eastAsia="en-GB"/>
        </w:rPr>
        <w:t xml:space="preserve">Based on the 2011 Census, </w:t>
      </w:r>
      <w:r w:rsidR="00272B9F" w:rsidRPr="006A31AE">
        <w:rPr>
          <w:rFonts w:ascii="Arial" w:eastAsia="Calibri" w:hAnsi="Arial" w:cs="Arial"/>
          <w:sz w:val="24"/>
          <w:szCs w:val="24"/>
          <w:lang w:eastAsia="en-GB"/>
        </w:rPr>
        <w:t xml:space="preserve">17.6% of adults in Croydon were recorded as having no qualifications </w:t>
      </w:r>
      <w:r>
        <w:rPr>
          <w:rFonts w:ascii="Arial" w:eastAsia="Calibri" w:hAnsi="Arial" w:cs="Arial"/>
          <w:sz w:val="24"/>
          <w:szCs w:val="24"/>
          <w:lang w:eastAsia="en-GB"/>
        </w:rPr>
        <w:t xml:space="preserve">and this was in line with the </w:t>
      </w:r>
      <w:r w:rsidR="00272B9F" w:rsidRPr="006A31AE">
        <w:rPr>
          <w:rFonts w:ascii="Arial" w:eastAsia="Calibri" w:hAnsi="Arial" w:cs="Arial"/>
          <w:sz w:val="24"/>
          <w:szCs w:val="24"/>
          <w:lang w:eastAsia="en-GB"/>
        </w:rPr>
        <w:t xml:space="preserve">London average. Across England this figure was </w:t>
      </w:r>
      <w:r w:rsidR="00E83A40">
        <w:rPr>
          <w:rFonts w:ascii="Arial" w:eastAsia="Calibri" w:hAnsi="Arial" w:cs="Arial"/>
          <w:sz w:val="24"/>
          <w:szCs w:val="24"/>
          <w:lang w:eastAsia="en-GB"/>
        </w:rPr>
        <w:t xml:space="preserve">higher at </w:t>
      </w:r>
      <w:r w:rsidR="00272B9F" w:rsidRPr="006A31AE">
        <w:rPr>
          <w:rFonts w:ascii="Arial" w:eastAsia="Calibri" w:hAnsi="Arial" w:cs="Arial"/>
          <w:sz w:val="24"/>
          <w:szCs w:val="24"/>
          <w:lang w:eastAsia="en-GB"/>
        </w:rPr>
        <w:t>22.5%</w:t>
      </w:r>
      <w:r w:rsidR="00E83A40">
        <w:rPr>
          <w:rFonts w:ascii="Arial" w:eastAsia="Calibri" w:hAnsi="Arial" w:cs="Arial"/>
          <w:sz w:val="24"/>
          <w:szCs w:val="24"/>
          <w:lang w:eastAsia="en-GB"/>
        </w:rPr>
        <w:t>.</w:t>
      </w:r>
    </w:p>
    <w:p w:rsidR="00272B9F" w:rsidRPr="006A31AE" w:rsidRDefault="00272B9F" w:rsidP="00272B9F">
      <w:pPr>
        <w:spacing w:after="200" w:line="276" w:lineRule="auto"/>
        <w:rPr>
          <w:rFonts w:ascii="Arial" w:eastAsia="Calibri" w:hAnsi="Arial" w:cs="Arial"/>
          <w:sz w:val="24"/>
          <w:szCs w:val="24"/>
          <w:lang w:eastAsia="en-GB"/>
        </w:rPr>
      </w:pPr>
      <w:r>
        <w:rPr>
          <w:rFonts w:ascii="Arial" w:eastAsia="Calibri" w:hAnsi="Arial" w:cs="Arial"/>
          <w:sz w:val="24"/>
          <w:szCs w:val="24"/>
          <w:lang w:eastAsia="en-GB"/>
        </w:rPr>
        <w:t xml:space="preserve">Based on the </w:t>
      </w:r>
      <w:r w:rsidRPr="00954C26">
        <w:rPr>
          <w:rFonts w:ascii="Arial" w:eastAsia="Calibri" w:hAnsi="Arial" w:cs="Arial"/>
          <w:sz w:val="24"/>
          <w:szCs w:val="24"/>
          <w:lang w:eastAsia="en-GB"/>
        </w:rPr>
        <w:t>ONS annual population survey</w:t>
      </w:r>
      <w:r>
        <w:rPr>
          <w:rFonts w:ascii="Arial" w:eastAsia="Calibri" w:hAnsi="Arial" w:cs="Arial"/>
          <w:sz w:val="24"/>
          <w:szCs w:val="24"/>
          <w:lang w:eastAsia="en-GB"/>
        </w:rPr>
        <w:t xml:space="preserve"> for the calendar year 2017, </w:t>
      </w:r>
      <w:r w:rsidR="00E83A40">
        <w:rPr>
          <w:rFonts w:ascii="Arial" w:eastAsia="Calibri" w:hAnsi="Arial" w:cs="Arial"/>
          <w:sz w:val="24"/>
          <w:szCs w:val="24"/>
          <w:lang w:eastAsia="en-GB"/>
        </w:rPr>
        <w:t xml:space="preserve">only </w:t>
      </w:r>
      <w:r>
        <w:rPr>
          <w:rFonts w:ascii="Arial" w:eastAsia="Calibri" w:hAnsi="Arial" w:cs="Arial"/>
          <w:sz w:val="24"/>
          <w:szCs w:val="24"/>
          <w:lang w:eastAsia="en-GB"/>
        </w:rPr>
        <w:t>4.7</w:t>
      </w:r>
      <w:r w:rsidRPr="00954C26">
        <w:rPr>
          <w:rFonts w:ascii="Arial" w:eastAsia="Calibri" w:hAnsi="Arial" w:cs="Arial"/>
          <w:sz w:val="24"/>
          <w:szCs w:val="24"/>
          <w:lang w:eastAsia="en-GB"/>
        </w:rPr>
        <w:t xml:space="preserve">% </w:t>
      </w:r>
      <w:r>
        <w:rPr>
          <w:rFonts w:ascii="Arial" w:eastAsia="Calibri" w:hAnsi="Arial" w:cs="Arial"/>
          <w:sz w:val="24"/>
          <w:szCs w:val="24"/>
          <w:lang w:eastAsia="en-GB"/>
        </w:rPr>
        <w:t xml:space="preserve">of </w:t>
      </w:r>
      <w:r w:rsidR="00E83A40">
        <w:rPr>
          <w:rFonts w:ascii="Arial" w:eastAsia="Calibri" w:hAnsi="Arial" w:cs="Arial"/>
          <w:sz w:val="24"/>
          <w:szCs w:val="24"/>
          <w:lang w:eastAsia="en-GB"/>
        </w:rPr>
        <w:t>Croydon’s</w:t>
      </w:r>
      <w:r>
        <w:rPr>
          <w:rFonts w:ascii="Arial" w:eastAsia="Calibri" w:hAnsi="Arial" w:cs="Arial"/>
          <w:sz w:val="24"/>
          <w:szCs w:val="24"/>
          <w:lang w:eastAsia="en-GB"/>
        </w:rPr>
        <w:t xml:space="preserve"> </w:t>
      </w:r>
      <w:r w:rsidR="00E83A40">
        <w:rPr>
          <w:rFonts w:ascii="Arial" w:eastAsia="Calibri" w:hAnsi="Arial" w:cs="Arial"/>
          <w:sz w:val="24"/>
          <w:szCs w:val="24"/>
          <w:lang w:eastAsia="en-GB"/>
        </w:rPr>
        <w:t>resident population</w:t>
      </w:r>
      <w:r>
        <w:rPr>
          <w:rFonts w:ascii="Arial" w:eastAsia="Calibri" w:hAnsi="Arial" w:cs="Arial"/>
          <w:sz w:val="24"/>
          <w:szCs w:val="24"/>
          <w:lang w:eastAsia="en-GB"/>
        </w:rPr>
        <w:t xml:space="preserve"> </w:t>
      </w:r>
      <w:r w:rsidRPr="00954C26">
        <w:rPr>
          <w:rFonts w:ascii="Arial" w:eastAsia="Calibri" w:hAnsi="Arial" w:cs="Arial"/>
          <w:sz w:val="24"/>
          <w:szCs w:val="24"/>
          <w:lang w:eastAsia="en-GB"/>
        </w:rPr>
        <w:t>aged 16-64</w:t>
      </w:r>
      <w:r>
        <w:rPr>
          <w:rFonts w:ascii="Arial" w:eastAsia="Calibri" w:hAnsi="Arial" w:cs="Arial"/>
          <w:sz w:val="24"/>
          <w:szCs w:val="24"/>
          <w:lang w:eastAsia="en-GB"/>
        </w:rPr>
        <w:t xml:space="preserve"> years </w:t>
      </w:r>
      <w:r w:rsidR="00E83A40">
        <w:rPr>
          <w:rFonts w:ascii="Arial" w:eastAsia="Calibri" w:hAnsi="Arial" w:cs="Arial"/>
          <w:sz w:val="24"/>
          <w:szCs w:val="24"/>
          <w:lang w:eastAsia="en-GB"/>
        </w:rPr>
        <w:t xml:space="preserve">had </w:t>
      </w:r>
      <w:r>
        <w:rPr>
          <w:rFonts w:ascii="Arial" w:eastAsia="Calibri" w:hAnsi="Arial" w:cs="Arial"/>
          <w:sz w:val="24"/>
          <w:szCs w:val="24"/>
          <w:lang w:eastAsia="en-GB"/>
        </w:rPr>
        <w:t xml:space="preserve">no qualification.  This </w:t>
      </w:r>
      <w:r w:rsidR="00E83A40">
        <w:rPr>
          <w:rFonts w:ascii="Arial" w:eastAsia="Calibri" w:hAnsi="Arial" w:cs="Arial"/>
          <w:sz w:val="24"/>
          <w:szCs w:val="24"/>
          <w:lang w:eastAsia="en-GB"/>
        </w:rPr>
        <w:t>proportion was higher in London (6.8%) and also higher at the national level (7.7%)</w:t>
      </w:r>
      <w:r>
        <w:rPr>
          <w:rFonts w:ascii="Arial" w:eastAsia="Calibri" w:hAnsi="Arial" w:cs="Arial"/>
          <w:sz w:val="24"/>
          <w:szCs w:val="24"/>
          <w:lang w:eastAsia="en-GB"/>
        </w:rPr>
        <w:t>.</w:t>
      </w:r>
    </w:p>
    <w:p w:rsidR="009555D3" w:rsidRDefault="00272B9F" w:rsidP="00272B9F">
      <w:pPr>
        <w:spacing w:after="200" w:line="276" w:lineRule="auto"/>
        <w:rPr>
          <w:rFonts w:ascii="Arial" w:eastAsia="Calibri" w:hAnsi="Arial" w:cs="Arial"/>
          <w:sz w:val="24"/>
          <w:szCs w:val="24"/>
          <w:u w:val="single"/>
          <w:lang w:eastAsia="en-GB"/>
        </w:rPr>
      </w:pPr>
      <w:r w:rsidRPr="006A31AE">
        <w:rPr>
          <w:rFonts w:ascii="Arial" w:eastAsia="Calibri" w:hAnsi="Arial" w:cs="Arial"/>
          <w:sz w:val="24"/>
          <w:szCs w:val="24"/>
          <w:lang w:eastAsia="en-GB"/>
        </w:rPr>
        <w:t xml:space="preserve">Figure </w:t>
      </w:r>
      <w:r w:rsidR="0026664B">
        <w:rPr>
          <w:rFonts w:ascii="Arial" w:eastAsia="Calibri" w:hAnsi="Arial" w:cs="Arial"/>
          <w:sz w:val="24"/>
          <w:szCs w:val="24"/>
          <w:lang w:eastAsia="en-GB"/>
        </w:rPr>
        <w:t>8</w:t>
      </w:r>
      <w:r w:rsidRPr="006A31AE">
        <w:rPr>
          <w:rFonts w:ascii="Arial" w:eastAsia="Calibri" w:hAnsi="Arial" w:cs="Arial"/>
          <w:sz w:val="24"/>
          <w:szCs w:val="24"/>
          <w:lang w:eastAsia="en-GB"/>
        </w:rPr>
        <w:t xml:space="preserve"> shows that adults from a White ethnic background in Croydon are more likely to have no qualifications than adults from any other ethnic background. This is likely to be because just over a third of adults in Fieldway and New Addington had no qualifications recorded in the 2011 Census and both of these areas have a higher proportion of residents from White ethnic backgrounds.</w:t>
      </w:r>
    </w:p>
    <w:p w:rsidR="009555D3" w:rsidRDefault="009555D3" w:rsidP="00272B9F">
      <w:pPr>
        <w:spacing w:after="200" w:line="276" w:lineRule="auto"/>
        <w:rPr>
          <w:rFonts w:ascii="Arial" w:eastAsia="Calibri" w:hAnsi="Arial" w:cs="Arial"/>
          <w:sz w:val="24"/>
          <w:szCs w:val="24"/>
          <w:u w:val="single"/>
          <w:lang w:eastAsia="en-GB"/>
        </w:rPr>
      </w:pPr>
    </w:p>
    <w:p w:rsidR="001356B1" w:rsidRDefault="001356B1" w:rsidP="00272B9F">
      <w:pPr>
        <w:spacing w:after="200" w:line="276" w:lineRule="auto"/>
        <w:rPr>
          <w:rFonts w:ascii="Arial" w:eastAsia="Calibri" w:hAnsi="Arial" w:cs="Arial"/>
          <w:sz w:val="24"/>
          <w:szCs w:val="24"/>
          <w:u w:val="single"/>
          <w:lang w:eastAsia="en-GB"/>
        </w:rPr>
      </w:pPr>
    </w:p>
    <w:p w:rsidR="001356B1" w:rsidRDefault="001356B1" w:rsidP="00272B9F">
      <w:pPr>
        <w:spacing w:after="200" w:line="276" w:lineRule="auto"/>
        <w:rPr>
          <w:rFonts w:ascii="Arial" w:eastAsia="Calibri" w:hAnsi="Arial" w:cs="Arial"/>
          <w:sz w:val="24"/>
          <w:szCs w:val="24"/>
          <w:u w:val="single"/>
          <w:lang w:eastAsia="en-GB"/>
        </w:rPr>
      </w:pPr>
    </w:p>
    <w:p w:rsidR="004439DD" w:rsidRDefault="004439DD" w:rsidP="00272B9F">
      <w:pPr>
        <w:spacing w:after="200" w:line="276" w:lineRule="auto"/>
        <w:rPr>
          <w:rFonts w:ascii="Arial" w:eastAsia="Calibri" w:hAnsi="Arial" w:cs="Arial"/>
          <w:sz w:val="24"/>
          <w:szCs w:val="24"/>
          <w:u w:val="single"/>
          <w:lang w:eastAsia="en-GB"/>
        </w:rPr>
      </w:pPr>
    </w:p>
    <w:p w:rsidR="00E1567D" w:rsidRDefault="00E1567D" w:rsidP="00272B9F">
      <w:pPr>
        <w:spacing w:after="200" w:line="276" w:lineRule="auto"/>
        <w:rPr>
          <w:rFonts w:ascii="Arial" w:eastAsia="Calibri" w:hAnsi="Arial" w:cs="Arial"/>
          <w:sz w:val="24"/>
          <w:szCs w:val="24"/>
          <w:u w:val="single"/>
          <w:lang w:eastAsia="en-GB"/>
        </w:rPr>
      </w:pPr>
    </w:p>
    <w:p w:rsidR="00E1567D" w:rsidRDefault="00E1567D" w:rsidP="00272B9F">
      <w:pPr>
        <w:spacing w:after="200" w:line="276" w:lineRule="auto"/>
        <w:rPr>
          <w:rFonts w:ascii="Arial" w:eastAsia="Calibri" w:hAnsi="Arial" w:cs="Arial"/>
          <w:sz w:val="24"/>
          <w:szCs w:val="24"/>
          <w:u w:val="single"/>
          <w:lang w:eastAsia="en-GB"/>
        </w:rPr>
      </w:pPr>
    </w:p>
    <w:p w:rsidR="00272B9F" w:rsidRPr="00CF633E" w:rsidRDefault="00272B9F" w:rsidP="00272B9F">
      <w:pPr>
        <w:spacing w:after="200" w:line="276" w:lineRule="auto"/>
        <w:rPr>
          <w:rFonts w:ascii="Arial" w:eastAsia="Calibri" w:hAnsi="Arial" w:cs="Arial"/>
          <w:sz w:val="24"/>
          <w:szCs w:val="24"/>
          <w:u w:val="single"/>
          <w:lang w:eastAsia="en-GB"/>
        </w:rPr>
      </w:pPr>
      <w:r w:rsidRPr="00CF633E">
        <w:rPr>
          <w:rFonts w:ascii="Arial" w:eastAsia="Calibri" w:hAnsi="Arial" w:cs="Arial"/>
          <w:sz w:val="24"/>
          <w:szCs w:val="24"/>
          <w:u w:val="single"/>
          <w:lang w:eastAsia="en-GB"/>
        </w:rPr>
        <w:t xml:space="preserve">Figure </w:t>
      </w:r>
      <w:r w:rsidR="009555D3">
        <w:rPr>
          <w:rFonts w:ascii="Arial" w:eastAsia="Calibri" w:hAnsi="Arial" w:cs="Arial"/>
          <w:sz w:val="24"/>
          <w:szCs w:val="24"/>
          <w:u w:val="single"/>
          <w:lang w:eastAsia="en-GB"/>
        </w:rPr>
        <w:t>8</w:t>
      </w:r>
      <w:r w:rsidRPr="00CF633E">
        <w:rPr>
          <w:rFonts w:ascii="Arial" w:eastAsia="Calibri" w:hAnsi="Arial" w:cs="Arial"/>
          <w:sz w:val="24"/>
          <w:szCs w:val="24"/>
          <w:u w:val="single"/>
          <w:lang w:eastAsia="en-GB"/>
        </w:rPr>
        <w:t xml:space="preserve"> – Highest level of qualification by ethnic group</w:t>
      </w:r>
    </w:p>
    <w:p w:rsidR="00272B9F" w:rsidRPr="006A31AE" w:rsidRDefault="00272B9F" w:rsidP="00600C44">
      <w:pPr>
        <w:spacing w:after="0" w:line="240"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08627B0E" wp14:editId="45177EDC">
            <wp:extent cx="4287758" cy="2852057"/>
            <wp:effectExtent l="19050" t="19050" r="17780" b="24765"/>
            <wp:docPr id="105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cstate="print"/>
                    <a:srcRect/>
                    <a:stretch>
                      <a:fillRect/>
                    </a:stretch>
                  </pic:blipFill>
                  <pic:spPr bwMode="auto">
                    <a:xfrm>
                      <a:off x="0" y="0"/>
                      <a:ext cx="4310900" cy="2867450"/>
                    </a:xfrm>
                    <a:prstGeom prst="rect">
                      <a:avLst/>
                    </a:prstGeom>
                    <a:noFill/>
                    <a:ln w="3175">
                      <a:solidFill>
                        <a:schemeClr val="tx1"/>
                      </a:solidFill>
                    </a:ln>
                  </pic:spPr>
                </pic:pic>
              </a:graphicData>
            </a:graphic>
          </wp:inline>
        </w:drawing>
      </w:r>
    </w:p>
    <w:p w:rsidR="00272B9F" w:rsidRPr="00C55266" w:rsidRDefault="00272B9F" w:rsidP="00600C44">
      <w:pPr>
        <w:spacing w:after="0" w:line="240" w:lineRule="auto"/>
        <w:rPr>
          <w:rFonts w:ascii="Arial" w:eastAsia="Times New Roman" w:hAnsi="Arial" w:cs="Arial"/>
          <w:sz w:val="20"/>
          <w:szCs w:val="20"/>
          <w:lang w:eastAsia="en-GB"/>
        </w:rPr>
      </w:pPr>
      <w:r w:rsidRPr="00C55266">
        <w:rPr>
          <w:rFonts w:ascii="Arial" w:eastAsia="Times New Roman" w:hAnsi="Arial" w:cs="Arial"/>
          <w:sz w:val="20"/>
          <w:szCs w:val="20"/>
          <w:lang w:eastAsia="en-GB"/>
        </w:rPr>
        <w:t>Source: ONS 2011 Census Table DC5209EWla</w:t>
      </w:r>
    </w:p>
    <w:p w:rsidR="00272B9F" w:rsidRDefault="00272B9F" w:rsidP="00272B9F">
      <w:pPr>
        <w:spacing w:after="200" w:line="276" w:lineRule="auto"/>
        <w:rPr>
          <w:rFonts w:ascii="Arial" w:eastAsia="Calibri" w:hAnsi="Arial" w:cs="Arial"/>
          <w:sz w:val="24"/>
          <w:szCs w:val="24"/>
          <w:lang w:eastAsia="en-GB"/>
        </w:rPr>
      </w:pPr>
    </w:p>
    <w:p w:rsidR="004439DD" w:rsidRDefault="004439DD" w:rsidP="00272B9F">
      <w:pPr>
        <w:spacing w:after="200" w:line="276" w:lineRule="auto"/>
        <w:rPr>
          <w:rFonts w:ascii="Arial" w:eastAsia="Calibri" w:hAnsi="Arial" w:cs="Arial"/>
          <w:sz w:val="24"/>
          <w:szCs w:val="24"/>
          <w:lang w:eastAsia="en-GB"/>
        </w:rPr>
      </w:pPr>
    </w:p>
    <w:p w:rsidR="00E83A40" w:rsidRDefault="00E83A40" w:rsidP="00272B9F">
      <w:pPr>
        <w:spacing w:after="200" w:line="276" w:lineRule="auto"/>
        <w:rPr>
          <w:rFonts w:ascii="Arial" w:eastAsia="Calibri" w:hAnsi="Arial" w:cs="Arial"/>
          <w:sz w:val="24"/>
          <w:szCs w:val="24"/>
          <w:lang w:eastAsia="en-GB"/>
        </w:rPr>
      </w:pPr>
    </w:p>
    <w:p w:rsidR="00E83A40" w:rsidRDefault="00E83A40" w:rsidP="00272B9F">
      <w:pPr>
        <w:spacing w:after="200" w:line="276" w:lineRule="auto"/>
        <w:rPr>
          <w:rFonts w:ascii="Arial" w:eastAsia="Calibri" w:hAnsi="Arial" w:cs="Arial"/>
          <w:sz w:val="24"/>
          <w:szCs w:val="24"/>
          <w:lang w:eastAsia="en-GB"/>
        </w:rPr>
      </w:pPr>
    </w:p>
    <w:p w:rsidR="004439DD" w:rsidRDefault="004439DD" w:rsidP="00272B9F">
      <w:pPr>
        <w:spacing w:after="200" w:line="276" w:lineRule="auto"/>
        <w:rPr>
          <w:rFonts w:ascii="Arial" w:eastAsia="Calibri" w:hAnsi="Arial" w:cs="Arial"/>
          <w:sz w:val="24"/>
          <w:szCs w:val="24"/>
          <w:lang w:eastAsia="en-GB"/>
        </w:rPr>
      </w:pPr>
    </w:p>
    <w:p w:rsidR="00E83A40" w:rsidRDefault="00E83A40" w:rsidP="00272B9F">
      <w:pPr>
        <w:spacing w:after="200" w:line="276" w:lineRule="auto"/>
        <w:rPr>
          <w:rFonts w:ascii="Arial" w:eastAsia="Calibri" w:hAnsi="Arial" w:cs="Arial"/>
          <w:sz w:val="24"/>
          <w:szCs w:val="24"/>
          <w:lang w:eastAsia="en-GB"/>
        </w:rPr>
      </w:pPr>
    </w:p>
    <w:p w:rsidR="00E1567D" w:rsidRDefault="00E1567D" w:rsidP="00272B9F">
      <w:pPr>
        <w:spacing w:after="200" w:line="276" w:lineRule="auto"/>
        <w:rPr>
          <w:rFonts w:ascii="Arial" w:eastAsia="Calibri" w:hAnsi="Arial" w:cs="Arial"/>
          <w:sz w:val="24"/>
          <w:szCs w:val="24"/>
          <w:lang w:eastAsia="en-GB"/>
        </w:rPr>
      </w:pPr>
    </w:p>
    <w:p w:rsidR="00272B9F" w:rsidRPr="006A31AE" w:rsidRDefault="00272B9F" w:rsidP="00272B9F">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Figure </w:t>
      </w:r>
      <w:r w:rsidR="0026664B">
        <w:rPr>
          <w:rFonts w:ascii="Arial" w:eastAsia="Calibri" w:hAnsi="Arial" w:cs="Arial"/>
          <w:sz w:val="24"/>
          <w:szCs w:val="24"/>
          <w:lang w:eastAsia="en-GB"/>
        </w:rPr>
        <w:t>9</w:t>
      </w:r>
      <w:r w:rsidRPr="006A31AE">
        <w:rPr>
          <w:rFonts w:ascii="Arial" w:eastAsia="Calibri" w:hAnsi="Arial" w:cs="Arial"/>
          <w:sz w:val="24"/>
          <w:szCs w:val="24"/>
          <w:lang w:eastAsia="en-GB"/>
        </w:rPr>
        <w:t xml:space="preserve"> shows the differences in the skill levels across the borough based on Census 2011 data. Whilst Fieldway and New Addington had the highest proportion of adults with no qualifications, Croham and Fairfield had the lowest at</w:t>
      </w:r>
      <w:r>
        <w:rPr>
          <w:rFonts w:ascii="Arial" w:eastAsia="Calibri" w:hAnsi="Arial" w:cs="Arial"/>
          <w:sz w:val="24"/>
          <w:szCs w:val="24"/>
          <w:lang w:eastAsia="en-GB"/>
        </w:rPr>
        <w:t xml:space="preserve"> 12.0% and 12.3% respectively.</w:t>
      </w:r>
    </w:p>
    <w:p w:rsidR="00272B9F" w:rsidRPr="00CF633E" w:rsidRDefault="00272B9F" w:rsidP="00272B9F">
      <w:pPr>
        <w:spacing w:after="200" w:line="276" w:lineRule="auto"/>
        <w:rPr>
          <w:rFonts w:ascii="Arial" w:eastAsia="Calibri" w:hAnsi="Arial" w:cs="Arial"/>
          <w:sz w:val="24"/>
          <w:szCs w:val="24"/>
          <w:u w:val="single"/>
          <w:lang w:eastAsia="en-GB"/>
        </w:rPr>
      </w:pPr>
      <w:r w:rsidRPr="00CF633E">
        <w:rPr>
          <w:rFonts w:ascii="Arial" w:eastAsia="Calibri" w:hAnsi="Arial" w:cs="Arial"/>
          <w:sz w:val="24"/>
          <w:szCs w:val="24"/>
          <w:u w:val="single"/>
          <w:lang w:eastAsia="en-GB"/>
        </w:rPr>
        <w:t xml:space="preserve">Figure </w:t>
      </w:r>
      <w:r w:rsidR="009555D3">
        <w:rPr>
          <w:rFonts w:ascii="Arial" w:eastAsia="Calibri" w:hAnsi="Arial" w:cs="Arial"/>
          <w:sz w:val="24"/>
          <w:szCs w:val="24"/>
          <w:u w:val="single"/>
          <w:lang w:eastAsia="en-GB"/>
        </w:rPr>
        <w:t>9</w:t>
      </w:r>
      <w:r w:rsidRPr="00CF633E">
        <w:rPr>
          <w:rFonts w:ascii="Arial" w:eastAsia="Calibri" w:hAnsi="Arial" w:cs="Arial"/>
          <w:sz w:val="24"/>
          <w:szCs w:val="24"/>
          <w:u w:val="single"/>
          <w:lang w:eastAsia="en-GB"/>
        </w:rPr>
        <w:t xml:space="preserve"> – Highest qualification by ward </w:t>
      </w:r>
    </w:p>
    <w:p w:rsidR="00272B9F" w:rsidRPr="006A31AE" w:rsidRDefault="00272B9F" w:rsidP="00600C44">
      <w:pPr>
        <w:spacing w:after="0" w:line="240"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316A8F4C" wp14:editId="60081420">
            <wp:extent cx="3938970" cy="2794000"/>
            <wp:effectExtent l="19050" t="19050" r="23495" b="25400"/>
            <wp:docPr id="41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0" cstate="print"/>
                    <a:srcRect/>
                    <a:stretch>
                      <a:fillRect/>
                    </a:stretch>
                  </pic:blipFill>
                  <pic:spPr bwMode="auto">
                    <a:xfrm>
                      <a:off x="0" y="0"/>
                      <a:ext cx="3981719" cy="2824323"/>
                    </a:xfrm>
                    <a:prstGeom prst="rect">
                      <a:avLst/>
                    </a:prstGeom>
                    <a:noFill/>
                    <a:ln w="3175">
                      <a:solidFill>
                        <a:schemeClr val="tx1"/>
                      </a:solidFill>
                    </a:ln>
                  </pic:spPr>
                </pic:pic>
              </a:graphicData>
            </a:graphic>
          </wp:inline>
        </w:drawing>
      </w:r>
    </w:p>
    <w:p w:rsidR="00272B9F" w:rsidRDefault="00272B9F" w:rsidP="00600C44">
      <w:pPr>
        <w:spacing w:after="0" w:line="240" w:lineRule="auto"/>
        <w:rPr>
          <w:rFonts w:ascii="Arial" w:eastAsia="Times New Roman" w:hAnsi="Arial" w:cs="Arial"/>
          <w:sz w:val="20"/>
          <w:szCs w:val="20"/>
          <w:lang w:eastAsia="en-GB"/>
        </w:rPr>
      </w:pPr>
      <w:r w:rsidRPr="00C55266">
        <w:rPr>
          <w:rFonts w:ascii="Arial" w:eastAsia="Times New Roman" w:hAnsi="Arial" w:cs="Arial"/>
          <w:sz w:val="20"/>
          <w:szCs w:val="20"/>
          <w:lang w:eastAsia="en-GB"/>
        </w:rPr>
        <w:t>Source: ONS 2011 Census Table QS501EW</w:t>
      </w:r>
    </w:p>
    <w:p w:rsidR="00C55266" w:rsidRPr="00E83A40" w:rsidRDefault="00C55266" w:rsidP="00C55266">
      <w:pPr>
        <w:spacing w:after="0" w:line="276" w:lineRule="auto"/>
        <w:rPr>
          <w:rFonts w:ascii="Arial" w:eastAsia="Times New Roman" w:hAnsi="Arial" w:cs="Arial"/>
          <w:sz w:val="20"/>
          <w:szCs w:val="20"/>
          <w:lang w:eastAsia="en-GB"/>
        </w:rPr>
      </w:pPr>
    </w:p>
    <w:p w:rsidR="00596A1A" w:rsidRDefault="00272B9F" w:rsidP="00596A1A">
      <w:pPr>
        <w:spacing w:after="200" w:line="276" w:lineRule="auto"/>
        <w:ind w:left="-142"/>
        <w:rPr>
          <w:rFonts w:ascii="Arial" w:eastAsia="Calibri" w:hAnsi="Arial" w:cs="Arial"/>
          <w:color w:val="FF0000"/>
          <w:sz w:val="20"/>
          <w:szCs w:val="20"/>
          <w:lang w:eastAsia="en-GB"/>
        </w:rPr>
      </w:pPr>
      <w:r w:rsidRPr="00E83A40">
        <w:rPr>
          <w:rFonts w:ascii="Arial" w:eastAsia="Calibri" w:hAnsi="Arial" w:cs="Arial"/>
          <w:color w:val="FF0000"/>
          <w:sz w:val="20"/>
          <w:szCs w:val="20"/>
          <w:lang w:eastAsia="en-GB"/>
        </w:rPr>
        <w:t>Please note that since May 2018, Croydon has become a 28 ward borough and, as well as 4 new wards, some of the former ward names have been changed</w:t>
      </w:r>
    </w:p>
    <w:p w:rsidR="00596A1A" w:rsidRPr="00596A1A" w:rsidRDefault="00596A1A" w:rsidP="00596A1A">
      <w:pPr>
        <w:spacing w:after="200" w:line="276" w:lineRule="auto"/>
        <w:ind w:left="-142"/>
        <w:rPr>
          <w:rFonts w:ascii="Arial" w:eastAsia="Calibri" w:hAnsi="Arial" w:cs="Arial"/>
          <w:sz w:val="20"/>
          <w:szCs w:val="20"/>
          <w:lang w:eastAsia="en-GB"/>
        </w:rPr>
      </w:pPr>
    </w:p>
    <w:p w:rsidR="00596A1A" w:rsidRPr="00596A1A" w:rsidRDefault="00596A1A" w:rsidP="00596A1A">
      <w:pPr>
        <w:spacing w:after="200" w:line="276" w:lineRule="auto"/>
        <w:ind w:left="-142"/>
        <w:rPr>
          <w:rFonts w:ascii="Arial" w:eastAsia="Calibri" w:hAnsi="Arial" w:cs="Arial"/>
          <w:sz w:val="20"/>
          <w:szCs w:val="20"/>
          <w:lang w:eastAsia="en-GB"/>
        </w:rPr>
      </w:pPr>
    </w:p>
    <w:p w:rsidR="00596A1A" w:rsidRPr="00596A1A" w:rsidRDefault="00596A1A" w:rsidP="00596A1A">
      <w:pPr>
        <w:spacing w:after="200" w:line="276" w:lineRule="auto"/>
        <w:ind w:left="-142"/>
        <w:rPr>
          <w:rFonts w:ascii="Arial" w:eastAsia="Calibri" w:hAnsi="Arial" w:cs="Arial"/>
          <w:sz w:val="20"/>
          <w:szCs w:val="20"/>
          <w:lang w:eastAsia="en-GB"/>
        </w:rPr>
      </w:pPr>
    </w:p>
    <w:p w:rsidR="007B0710" w:rsidRPr="00596A1A" w:rsidRDefault="00272B9F" w:rsidP="00596A1A">
      <w:pPr>
        <w:spacing w:after="200" w:line="276" w:lineRule="auto"/>
        <w:ind w:left="-142"/>
        <w:rPr>
          <w:rFonts w:ascii="Arial" w:eastAsia="Calibri" w:hAnsi="Arial" w:cs="Arial"/>
          <w:sz w:val="20"/>
          <w:szCs w:val="20"/>
          <w:lang w:eastAsia="en-GB"/>
        </w:rPr>
      </w:pPr>
      <w:r w:rsidRPr="00596A1A">
        <w:rPr>
          <w:rFonts w:ascii="Arial" w:eastAsia="Calibri" w:hAnsi="Arial" w:cs="Arial"/>
          <w:sz w:val="20"/>
          <w:szCs w:val="20"/>
          <w:lang w:eastAsia="en-GB"/>
        </w:rPr>
        <w:t>.</w:t>
      </w:r>
    </w:p>
    <w:p w:rsidR="00E83A40" w:rsidRPr="00E83A40" w:rsidRDefault="00E83A40" w:rsidP="007B0710">
      <w:pPr>
        <w:spacing w:after="200" w:line="276" w:lineRule="auto"/>
        <w:rPr>
          <w:rFonts w:ascii="Arial" w:eastAsia="Calibri" w:hAnsi="Arial" w:cs="Arial"/>
          <w:color w:val="000000" w:themeColor="text1"/>
          <w:sz w:val="20"/>
          <w:szCs w:val="20"/>
          <w:lang w:eastAsia="en-GB"/>
        </w:rPr>
      </w:pPr>
    </w:p>
    <w:p w:rsidR="004B1203" w:rsidRDefault="004B1203" w:rsidP="006A31AE">
      <w:pPr>
        <w:spacing w:after="0" w:line="240" w:lineRule="auto"/>
        <w:rPr>
          <w:rFonts w:ascii="Arial" w:eastAsia="Calibri" w:hAnsi="Arial" w:cs="Arial"/>
          <w:i/>
          <w:sz w:val="24"/>
          <w:szCs w:val="24"/>
          <w:lang w:eastAsia="en-GB"/>
        </w:rPr>
        <w:sectPr w:rsidR="004B1203" w:rsidSect="008D4CF5">
          <w:headerReference w:type="default" r:id="rId121"/>
          <w:footerReference w:type="default" r:id="rId122"/>
          <w:pgSz w:w="16838" w:h="11906" w:orient="landscape"/>
          <w:pgMar w:top="1440" w:right="1387" w:bottom="568" w:left="1440" w:header="708" w:footer="708" w:gutter="0"/>
          <w:cols w:num="2" w:space="708"/>
          <w:docGrid w:linePitch="360"/>
        </w:sectPr>
      </w:pPr>
    </w:p>
    <w:p w:rsidR="006A31AE" w:rsidRPr="006A31AE" w:rsidRDefault="006A31AE" w:rsidP="006A31AE">
      <w:pPr>
        <w:spacing w:after="200" w:line="276" w:lineRule="auto"/>
        <w:rPr>
          <w:rFonts w:ascii="Arial" w:eastAsia="Times New Roman" w:hAnsi="Arial" w:cs="Arial"/>
          <w:b/>
          <w:bCs/>
          <w:color w:val="701471"/>
          <w:sz w:val="32"/>
          <w:szCs w:val="28"/>
          <w:lang w:eastAsia="en-GB"/>
        </w:rPr>
      </w:pPr>
      <w:r w:rsidRPr="006A31AE">
        <w:rPr>
          <w:rFonts w:ascii="Arial" w:eastAsia="Times New Roman" w:hAnsi="Arial" w:cs="Arial"/>
          <w:b/>
          <w:bCs/>
          <w:noProof/>
          <w:color w:val="701471"/>
          <w:sz w:val="32"/>
          <w:szCs w:val="28"/>
          <w:lang w:eastAsia="en-GB"/>
        </w:rPr>
        <w:lastRenderedPageBreak/>
        <w:drawing>
          <wp:inline distT="0" distB="0" distL="0" distR="0" wp14:anchorId="48125854" wp14:editId="02D370FA">
            <wp:extent cx="571038" cy="666695"/>
            <wp:effectExtent l="19050" t="0" r="462" b="0"/>
            <wp:docPr id="1025" name="Picture 13"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49" cstate="print"/>
                    <a:stretch>
                      <a:fillRect/>
                    </a:stretch>
                  </pic:blipFill>
                  <pic:spPr>
                    <a:xfrm>
                      <a:off x="0" y="0"/>
                      <a:ext cx="571038" cy="666695"/>
                    </a:xfrm>
                    <a:prstGeom prst="rect">
                      <a:avLst/>
                    </a:prstGeom>
                  </pic:spPr>
                </pic:pic>
              </a:graphicData>
            </a:graphic>
          </wp:inline>
        </w:drawing>
      </w:r>
      <w:r w:rsidRPr="006A31AE">
        <w:rPr>
          <w:rFonts w:ascii="Arial" w:eastAsia="Times New Roman" w:hAnsi="Arial" w:cs="Arial"/>
          <w:b/>
          <w:bCs/>
          <w:color w:val="701471"/>
          <w:sz w:val="32"/>
          <w:szCs w:val="28"/>
          <w:lang w:eastAsia="en-GB"/>
        </w:rPr>
        <w:t xml:space="preserve"> </w:t>
      </w:r>
      <w:r w:rsidRPr="006A31AE">
        <w:rPr>
          <w:rFonts w:ascii="Arial" w:eastAsia="Times New Roman" w:hAnsi="Arial" w:cs="Arial"/>
          <w:b/>
          <w:bCs/>
          <w:color w:val="701471"/>
          <w:sz w:val="40"/>
          <w:szCs w:val="28"/>
          <w:lang w:eastAsia="en-GB"/>
        </w:rPr>
        <w:t>Housing</w:t>
      </w:r>
    </w:p>
    <w:p w:rsidR="006A31AE" w:rsidRPr="006A31AE" w:rsidRDefault="006A31AE" w:rsidP="006A31AE">
      <w:pPr>
        <w:spacing w:after="0" w:line="240" w:lineRule="auto"/>
        <w:rPr>
          <w:rFonts w:ascii="Arial" w:eastAsia="Times New Roman" w:hAnsi="Arial" w:cs="Arial"/>
          <w:bCs/>
          <w:color w:val="701471"/>
          <w:sz w:val="28"/>
          <w:szCs w:val="28"/>
          <w:lang w:eastAsia="en-GB"/>
        </w:rPr>
      </w:pPr>
      <w:r w:rsidRPr="006A31AE">
        <w:rPr>
          <w:rFonts w:ascii="Arial" w:eastAsia="Times New Roman" w:hAnsi="Arial" w:cs="Arial"/>
          <w:bCs/>
          <w:noProof/>
          <w:color w:val="701471"/>
          <w:sz w:val="28"/>
          <w:szCs w:val="28"/>
          <w:lang w:eastAsia="en-GB"/>
        </w:rPr>
        <mc:AlternateContent>
          <mc:Choice Requires="wps">
            <w:drawing>
              <wp:anchor distT="0" distB="0" distL="114300" distR="114300" simplePos="0" relativeHeight="251737088" behindDoc="0" locked="0" layoutInCell="1" allowOverlap="1" wp14:anchorId="04A1CDDD" wp14:editId="4E633CC0">
                <wp:simplePos x="0" y="0"/>
                <wp:positionH relativeFrom="column">
                  <wp:posOffset>-30480</wp:posOffset>
                </wp:positionH>
                <wp:positionV relativeFrom="paragraph">
                  <wp:posOffset>125095</wp:posOffset>
                </wp:positionV>
                <wp:extent cx="3789680" cy="4267200"/>
                <wp:effectExtent l="0" t="0" r="20320" b="19050"/>
                <wp:wrapNone/>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89680" cy="4267200"/>
                        </a:xfrm>
                        <a:prstGeom prst="rect">
                          <a:avLst/>
                        </a:prstGeom>
                        <a:solidFill>
                          <a:srgbClr val="FFFFFF"/>
                        </a:solidFill>
                        <a:ln w="9525">
                          <a:solidFill>
                            <a:srgbClr val="000000"/>
                          </a:solidFill>
                          <a:miter lim="800000"/>
                          <a:headEnd/>
                          <a:tailEnd/>
                        </a:ln>
                      </wps:spPr>
                      <wps:txbx>
                        <w:txbxContent>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Areas of progress</w:t>
                            </w:r>
                          </w:p>
                          <w:p w:rsidR="00721450" w:rsidRPr="006C1B2B" w:rsidRDefault="00721450" w:rsidP="006A31AE">
                            <w:pPr>
                              <w:spacing w:after="0" w:line="240" w:lineRule="auto"/>
                              <w:rPr>
                                <w:rFonts w:eastAsia="Times New Roman"/>
                                <w:bCs/>
                                <w:color w:val="701471"/>
                                <w:sz w:val="28"/>
                                <w:szCs w:val="28"/>
                                <w:lang w:eastAsia="en-GB"/>
                              </w:rPr>
                            </w:pPr>
                          </w:p>
                          <w:p w:rsidR="00721450" w:rsidRPr="00EE63C7" w:rsidRDefault="00721450" w:rsidP="006A31AE">
                            <w:pPr>
                              <w:pStyle w:val="ListParagraph"/>
                              <w:numPr>
                                <w:ilvl w:val="0"/>
                                <w:numId w:val="1"/>
                              </w:numPr>
                              <w:spacing w:after="0"/>
                              <w:rPr>
                                <w:rFonts w:eastAsia="Times New Roman"/>
                                <w:bCs/>
                                <w:lang w:eastAsia="en-GB"/>
                              </w:rPr>
                            </w:pPr>
                            <w:r w:rsidRPr="00EE63C7">
                              <w:rPr>
                                <w:rFonts w:eastAsia="Times New Roman"/>
                                <w:bCs/>
                                <w:lang w:eastAsia="en-GB"/>
                              </w:rPr>
                              <w:t>Croydon remains one of the most affordable areas to live in London both to buy and to rent.</w:t>
                            </w:r>
                          </w:p>
                          <w:p w:rsidR="00721450" w:rsidRPr="00EE63C7" w:rsidRDefault="00721450" w:rsidP="006A31AE">
                            <w:pPr>
                              <w:pStyle w:val="ListParagraph"/>
                              <w:numPr>
                                <w:ilvl w:val="0"/>
                                <w:numId w:val="1"/>
                              </w:numPr>
                              <w:spacing w:after="0"/>
                              <w:rPr>
                                <w:rFonts w:eastAsia="Times New Roman"/>
                                <w:bCs/>
                                <w:lang w:eastAsia="en-GB"/>
                              </w:rPr>
                            </w:pPr>
                            <w:r w:rsidRPr="00EE63C7">
                              <w:rPr>
                                <w:rFonts w:eastAsia="Times New Roman"/>
                                <w:bCs/>
                                <w:lang w:eastAsia="en-GB"/>
                              </w:rPr>
                              <w:t>Croydon had the second highest number of ne</w:t>
                            </w:r>
                            <w:r>
                              <w:rPr>
                                <w:rFonts w:eastAsia="Times New Roman"/>
                                <w:bCs/>
                                <w:lang w:eastAsia="en-GB"/>
                              </w:rPr>
                              <w:t>t additional dwellings in 2016/201</w:t>
                            </w:r>
                            <w:r w:rsidRPr="00EE63C7">
                              <w:rPr>
                                <w:rFonts w:eastAsia="Times New Roman"/>
                                <w:bCs/>
                                <w:lang w:eastAsia="en-GB"/>
                              </w:rPr>
                              <w:t>7.</w:t>
                            </w:r>
                          </w:p>
                          <w:p w:rsidR="00721450" w:rsidRDefault="00721450" w:rsidP="006A31AE">
                            <w:pPr>
                              <w:spacing w:after="0"/>
                              <w:rPr>
                                <w:rFonts w:eastAsia="Times New Roman"/>
                                <w:bCs/>
                                <w:color w:val="006600"/>
                                <w:sz w:val="28"/>
                                <w:szCs w:val="28"/>
                                <w:lang w:eastAsia="en-GB"/>
                              </w:rPr>
                            </w:pPr>
                          </w:p>
                          <w:p w:rsidR="00721450" w:rsidRDefault="00721450" w:rsidP="006A31AE">
                            <w:pPr>
                              <w:spacing w:after="0"/>
                              <w:rPr>
                                <w:rFonts w:eastAsia="Times New Roman"/>
                                <w:bCs/>
                                <w:color w:val="701471"/>
                                <w:sz w:val="28"/>
                                <w:szCs w:val="28"/>
                                <w:lang w:eastAsia="en-GB"/>
                              </w:rPr>
                            </w:pPr>
                            <w:r w:rsidRPr="006C1B2B">
                              <w:rPr>
                                <w:rFonts w:eastAsia="Times New Roman"/>
                                <w:bCs/>
                                <w:color w:val="701471"/>
                                <w:sz w:val="28"/>
                                <w:szCs w:val="28"/>
                                <w:lang w:eastAsia="en-GB"/>
                              </w:rPr>
                              <w:t>Challenges</w:t>
                            </w:r>
                          </w:p>
                          <w:p w:rsidR="00721450" w:rsidRPr="006C1B2B" w:rsidRDefault="00721450" w:rsidP="006A31AE">
                            <w:pPr>
                              <w:spacing w:after="0"/>
                              <w:rPr>
                                <w:rFonts w:eastAsia="Times New Roman"/>
                                <w:bCs/>
                                <w:color w:val="701471"/>
                                <w:sz w:val="28"/>
                                <w:szCs w:val="28"/>
                                <w:lang w:eastAsia="en-GB"/>
                              </w:rPr>
                            </w:pPr>
                          </w:p>
                          <w:p w:rsidR="00721450" w:rsidRDefault="00721450" w:rsidP="006A31AE">
                            <w:pPr>
                              <w:pStyle w:val="ListParagraph"/>
                              <w:numPr>
                                <w:ilvl w:val="0"/>
                                <w:numId w:val="2"/>
                              </w:numPr>
                            </w:pPr>
                            <w:r w:rsidRPr="00EE63C7">
                              <w:t>The number of homeless acceptances remains high.</w:t>
                            </w:r>
                          </w:p>
                          <w:p w:rsidR="00721450" w:rsidRPr="00EE63C7" w:rsidRDefault="00721450" w:rsidP="00EE63C7">
                            <w:pPr>
                              <w:pStyle w:val="ListParagraph"/>
                            </w:pPr>
                          </w:p>
                          <w:p w:rsidR="00721450" w:rsidRPr="00EE63C7" w:rsidRDefault="00721450" w:rsidP="006A31AE">
                            <w:pPr>
                              <w:pStyle w:val="ListParagraph"/>
                              <w:numPr>
                                <w:ilvl w:val="0"/>
                                <w:numId w:val="2"/>
                              </w:numPr>
                            </w:pPr>
                            <w:r w:rsidRPr="00EE63C7">
                              <w:t>The number of homeless households in temporary accommodation remains high.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A1CDDD" id="_x0000_s1085" type="#_x0000_t202" style="position:absolute;margin-left:-2.4pt;margin-top:9.85pt;width:298.4pt;height:336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">
                <v:textbox>
                  <w:txbxContent>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Areas of progress</w:t>
                      </w:r>
                    </w:p>
                    <w:p w:rsidR="00721450" w:rsidRPr="006C1B2B" w:rsidRDefault="00721450" w:rsidP="006A31AE">
                      <w:pPr>
                        <w:spacing w:after="0" w:line="240" w:lineRule="auto"/>
                        <w:rPr>
                          <w:rFonts w:eastAsia="Times New Roman"/>
                          <w:bCs/>
                          <w:color w:val="701471"/>
                          <w:sz w:val="28"/>
                          <w:szCs w:val="28"/>
                          <w:lang w:eastAsia="en-GB"/>
                        </w:rPr>
                      </w:pPr>
                    </w:p>
                    <w:p w:rsidR="00721450" w:rsidRPr="00EE63C7" w:rsidRDefault="00721450" w:rsidP="006A31AE">
                      <w:pPr>
                        <w:pStyle w:val="ListParagraph"/>
                        <w:numPr>
                          <w:ilvl w:val="0"/>
                          <w:numId w:val="1"/>
                        </w:numPr>
                        <w:spacing w:after="0"/>
                        <w:rPr>
                          <w:rFonts w:eastAsia="Times New Roman"/>
                          <w:bCs/>
                          <w:lang w:eastAsia="en-GB"/>
                        </w:rPr>
                      </w:pPr>
                      <w:r w:rsidRPr="00EE63C7">
                        <w:rPr>
                          <w:rFonts w:eastAsia="Times New Roman"/>
                          <w:bCs/>
                          <w:lang w:eastAsia="en-GB"/>
                        </w:rPr>
                        <w:t>Croydon remains one of the most affordable areas to live in London both to buy and to rent.</w:t>
                      </w:r>
                    </w:p>
                    <w:p w:rsidR="00721450" w:rsidRPr="00EE63C7" w:rsidRDefault="00721450" w:rsidP="006A31AE">
                      <w:pPr>
                        <w:pStyle w:val="ListParagraph"/>
                        <w:numPr>
                          <w:ilvl w:val="0"/>
                          <w:numId w:val="1"/>
                        </w:numPr>
                        <w:spacing w:after="0"/>
                        <w:rPr>
                          <w:rFonts w:eastAsia="Times New Roman"/>
                          <w:bCs/>
                          <w:lang w:eastAsia="en-GB"/>
                        </w:rPr>
                      </w:pPr>
                      <w:r w:rsidRPr="00EE63C7">
                        <w:rPr>
                          <w:rFonts w:eastAsia="Times New Roman"/>
                          <w:bCs/>
                          <w:lang w:eastAsia="en-GB"/>
                        </w:rPr>
                        <w:t>Croydon had the second highest number of ne</w:t>
                      </w:r>
                      <w:r>
                        <w:rPr>
                          <w:rFonts w:eastAsia="Times New Roman"/>
                          <w:bCs/>
                          <w:lang w:eastAsia="en-GB"/>
                        </w:rPr>
                        <w:t>t additional dwellings in 2016/201</w:t>
                      </w:r>
                      <w:r w:rsidRPr="00EE63C7">
                        <w:rPr>
                          <w:rFonts w:eastAsia="Times New Roman"/>
                          <w:bCs/>
                          <w:lang w:eastAsia="en-GB"/>
                        </w:rPr>
                        <w:t>7.</w:t>
                      </w:r>
                    </w:p>
                    <w:p w:rsidR="00721450" w:rsidRDefault="00721450" w:rsidP="006A31AE">
                      <w:pPr>
                        <w:spacing w:after="0"/>
                        <w:rPr>
                          <w:rFonts w:eastAsia="Times New Roman"/>
                          <w:bCs/>
                          <w:color w:val="006600"/>
                          <w:sz w:val="28"/>
                          <w:szCs w:val="28"/>
                          <w:lang w:eastAsia="en-GB"/>
                        </w:rPr>
                      </w:pPr>
                    </w:p>
                    <w:p w:rsidR="00721450" w:rsidRDefault="00721450" w:rsidP="006A31AE">
                      <w:pPr>
                        <w:spacing w:after="0"/>
                        <w:rPr>
                          <w:rFonts w:eastAsia="Times New Roman"/>
                          <w:bCs/>
                          <w:color w:val="701471"/>
                          <w:sz w:val="28"/>
                          <w:szCs w:val="28"/>
                          <w:lang w:eastAsia="en-GB"/>
                        </w:rPr>
                      </w:pPr>
                      <w:r w:rsidRPr="006C1B2B">
                        <w:rPr>
                          <w:rFonts w:eastAsia="Times New Roman"/>
                          <w:bCs/>
                          <w:color w:val="701471"/>
                          <w:sz w:val="28"/>
                          <w:szCs w:val="28"/>
                          <w:lang w:eastAsia="en-GB"/>
                        </w:rPr>
                        <w:t>Challenges</w:t>
                      </w:r>
                    </w:p>
                    <w:p w:rsidR="00721450" w:rsidRPr="006C1B2B" w:rsidRDefault="00721450" w:rsidP="006A31AE">
                      <w:pPr>
                        <w:spacing w:after="0"/>
                        <w:rPr>
                          <w:rFonts w:eastAsia="Times New Roman"/>
                          <w:bCs/>
                          <w:color w:val="701471"/>
                          <w:sz w:val="28"/>
                          <w:szCs w:val="28"/>
                          <w:lang w:eastAsia="en-GB"/>
                        </w:rPr>
                      </w:pPr>
                    </w:p>
                    <w:p w:rsidR="00721450" w:rsidRDefault="00721450" w:rsidP="006A31AE">
                      <w:pPr>
                        <w:pStyle w:val="ListParagraph"/>
                        <w:numPr>
                          <w:ilvl w:val="0"/>
                          <w:numId w:val="2"/>
                        </w:numPr>
                      </w:pPr>
                      <w:r w:rsidRPr="00EE63C7">
                        <w:t>The number of homeless acceptances remains high.</w:t>
                      </w:r>
                    </w:p>
                    <w:p w:rsidR="00721450" w:rsidRPr="00EE63C7" w:rsidRDefault="00721450" w:rsidP="00EE63C7">
                      <w:pPr>
                        <w:pStyle w:val="ListParagraph"/>
                      </w:pPr>
                    </w:p>
                    <w:p w:rsidR="00721450" w:rsidRPr="00EE63C7" w:rsidRDefault="00721450" w:rsidP="006A31AE">
                      <w:pPr>
                        <w:pStyle w:val="ListParagraph"/>
                        <w:numPr>
                          <w:ilvl w:val="0"/>
                          <w:numId w:val="2"/>
                        </w:numPr>
                      </w:pPr>
                      <w:r w:rsidRPr="00EE63C7">
                        <w:t>The number of homeless households in temporary accommodation remains high.</w:t>
                      </w:r>
                    </w:p>
                  </w:txbxContent>
                </v:textbox>
              </v:shape>
            </w:pict>
          </mc:Fallback>
        </mc:AlternateContent>
      </w:r>
    </w:p>
    <w:p w:rsidR="006A31AE" w:rsidRPr="006A31AE" w:rsidRDefault="006A31AE" w:rsidP="006A31AE">
      <w:pPr>
        <w:spacing w:after="0" w:line="240" w:lineRule="auto"/>
        <w:rPr>
          <w:rFonts w:ascii="Arial" w:eastAsia="Times New Roman" w:hAnsi="Arial" w:cs="Arial"/>
          <w:bCs/>
          <w:color w:val="701471"/>
          <w:sz w:val="28"/>
          <w:szCs w:val="28"/>
          <w:lang w:eastAsia="en-GB"/>
        </w:rPr>
      </w:pPr>
    </w:p>
    <w:p w:rsidR="006A31AE" w:rsidRPr="006A31AE" w:rsidRDefault="006A31AE" w:rsidP="006A31AE">
      <w:pPr>
        <w:spacing w:after="0" w:line="240" w:lineRule="auto"/>
        <w:rPr>
          <w:rFonts w:ascii="Arial" w:eastAsia="Times New Roman" w:hAnsi="Arial" w:cs="Arial"/>
          <w:bCs/>
          <w:color w:val="006600"/>
          <w:sz w:val="28"/>
          <w:szCs w:val="28"/>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Default="006A31AE" w:rsidP="006A31AE">
      <w:pPr>
        <w:spacing w:after="0" w:line="240" w:lineRule="auto"/>
        <w:rPr>
          <w:rFonts w:ascii="Arial" w:eastAsia="Times New Roman" w:hAnsi="Arial" w:cs="Arial"/>
          <w:bCs/>
          <w:color w:val="000000"/>
          <w:sz w:val="24"/>
          <w:szCs w:val="24"/>
          <w:lang w:eastAsia="en-GB"/>
        </w:rPr>
      </w:pPr>
    </w:p>
    <w:p w:rsidR="00C55266" w:rsidRDefault="00C55266" w:rsidP="006A31AE">
      <w:pPr>
        <w:spacing w:after="0" w:line="240" w:lineRule="auto"/>
        <w:rPr>
          <w:rFonts w:ascii="Arial" w:eastAsia="Times New Roman" w:hAnsi="Arial" w:cs="Arial"/>
          <w:bCs/>
          <w:color w:val="000000"/>
          <w:sz w:val="24"/>
          <w:szCs w:val="24"/>
          <w:lang w:eastAsia="en-GB"/>
        </w:rPr>
      </w:pPr>
    </w:p>
    <w:p w:rsidR="00C55266" w:rsidRPr="006A31AE" w:rsidRDefault="00C55266"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Overview</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This section looks at some of the main issues relating to housing in Croydon including:</w:t>
      </w:r>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Tenure" w:history="1">
        <w:r w:rsidR="006A31AE" w:rsidRPr="006A31AE">
          <w:rPr>
            <w:rFonts w:ascii="Arial" w:eastAsia="Times New Roman" w:hAnsi="Arial" w:cs="Arial"/>
            <w:bCs/>
            <w:color w:val="0000FF"/>
            <w:sz w:val="24"/>
            <w:szCs w:val="24"/>
            <w:u w:val="single"/>
            <w:lang w:eastAsia="en-GB"/>
          </w:rPr>
          <w:t>Tenure</w:t>
        </w:r>
      </w:hyperlink>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Cost_of_property" w:history="1">
        <w:r w:rsidR="006A31AE" w:rsidRPr="006A31AE">
          <w:rPr>
            <w:rFonts w:ascii="Arial" w:eastAsia="Times New Roman" w:hAnsi="Arial" w:cs="Arial"/>
            <w:bCs/>
            <w:color w:val="0000FF"/>
            <w:sz w:val="24"/>
            <w:szCs w:val="24"/>
            <w:u w:val="single"/>
            <w:lang w:eastAsia="en-GB"/>
          </w:rPr>
          <w:t>Cost of property</w:t>
        </w:r>
      </w:hyperlink>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Availability_of_housing" w:history="1">
        <w:r w:rsidR="006A31AE" w:rsidRPr="006A31AE">
          <w:rPr>
            <w:rFonts w:ascii="Arial" w:eastAsia="Times New Roman" w:hAnsi="Arial" w:cs="Arial"/>
            <w:bCs/>
            <w:color w:val="0000FF"/>
            <w:sz w:val="24"/>
            <w:szCs w:val="24"/>
            <w:u w:val="single"/>
            <w:lang w:eastAsia="en-GB"/>
          </w:rPr>
          <w:t>Availability of housing</w:t>
        </w:r>
      </w:hyperlink>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Homelessness" w:history="1">
        <w:r w:rsidR="006A31AE" w:rsidRPr="006A31AE">
          <w:rPr>
            <w:rFonts w:ascii="Arial" w:eastAsia="Times New Roman" w:hAnsi="Arial" w:cs="Arial"/>
            <w:bCs/>
            <w:color w:val="0000FF"/>
            <w:sz w:val="24"/>
            <w:szCs w:val="24"/>
            <w:u w:val="single"/>
            <w:lang w:eastAsia="en-GB"/>
          </w:rPr>
          <w:t>Homelessness</w:t>
        </w:r>
      </w:hyperlink>
    </w:p>
    <w:p w:rsidR="006A31AE" w:rsidRDefault="006A31AE" w:rsidP="006A31AE">
      <w:pPr>
        <w:spacing w:after="0" w:line="240" w:lineRule="auto"/>
        <w:rPr>
          <w:rFonts w:ascii="Arial" w:eastAsia="Times New Roman" w:hAnsi="Arial" w:cs="Arial"/>
          <w:bCs/>
          <w:sz w:val="24"/>
          <w:szCs w:val="24"/>
          <w:lang w:eastAsia="en-GB"/>
        </w:rPr>
      </w:pPr>
    </w:p>
    <w:p w:rsidR="008D1CBF" w:rsidRPr="006A31AE" w:rsidRDefault="008D1CBF"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76" w:lineRule="auto"/>
        <w:outlineLvl w:val="0"/>
        <w:rPr>
          <w:rFonts w:ascii="Arial" w:eastAsia="Times New Roman" w:hAnsi="Arial" w:cs="Arial"/>
          <w:b/>
          <w:bCs/>
          <w:color w:val="701471"/>
          <w:sz w:val="28"/>
          <w:szCs w:val="24"/>
          <w:lang w:eastAsia="en-GB"/>
        </w:rPr>
      </w:pPr>
      <w:bookmarkStart w:id="15" w:name="_Tenure"/>
      <w:bookmarkEnd w:id="15"/>
      <w:r w:rsidRPr="006A31AE">
        <w:rPr>
          <w:rFonts w:ascii="Arial" w:eastAsia="Times New Roman" w:hAnsi="Arial" w:cs="Arial"/>
          <w:b/>
          <w:bCs/>
          <w:color w:val="701471"/>
          <w:sz w:val="28"/>
          <w:szCs w:val="24"/>
          <w:lang w:eastAsia="en-GB"/>
        </w:rPr>
        <w:t>Tenure</w:t>
      </w:r>
    </w:p>
    <w:p w:rsidR="006A31AE" w:rsidRPr="006A31AE" w:rsidRDefault="006A31AE" w:rsidP="006A31AE">
      <w:pPr>
        <w:spacing w:after="0" w:line="276" w:lineRule="auto"/>
        <w:rPr>
          <w:rFonts w:ascii="Arial" w:eastAsia="Times New Roman" w:hAnsi="Arial" w:cs="Arial"/>
          <w:bCs/>
          <w:color w:val="006600"/>
          <w:sz w:val="28"/>
          <w:szCs w:val="24"/>
          <w:lang w:eastAsia="en-GB"/>
        </w:rPr>
      </w:pPr>
    </w:p>
    <w:p w:rsidR="006A31AE" w:rsidRPr="006A31AE" w:rsidRDefault="006A31AE" w:rsidP="006A31AE">
      <w:pPr>
        <w:spacing w:after="0" w:line="276"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 xml:space="preserve">According to the 2011 Census, 60.1% of all Croydon households were owner occupied, 22.1% were private rented or rent free households and 17.8% were households living in social housing. </w:t>
      </w:r>
    </w:p>
    <w:p w:rsidR="006A31AE" w:rsidRPr="006A31AE" w:rsidRDefault="006A31AE" w:rsidP="006A31AE">
      <w:pPr>
        <w:spacing w:after="0" w:line="276" w:lineRule="auto"/>
        <w:rPr>
          <w:rFonts w:ascii="Arial" w:eastAsia="Times New Roman" w:hAnsi="Arial" w:cs="Arial"/>
          <w:bCs/>
          <w:sz w:val="24"/>
          <w:szCs w:val="24"/>
          <w:lang w:eastAsia="en-GB"/>
        </w:rPr>
      </w:pPr>
    </w:p>
    <w:p w:rsidR="006A31AE" w:rsidRPr="006A31AE" w:rsidRDefault="006A31AE" w:rsidP="006A31AE">
      <w:pPr>
        <w:spacing w:after="0" w:line="276" w:lineRule="auto"/>
        <w:rPr>
          <w:rFonts w:ascii="Arial" w:eastAsia="Calibri" w:hAnsi="Arial" w:cs="Arial"/>
          <w:sz w:val="24"/>
          <w:szCs w:val="24"/>
        </w:rPr>
      </w:pPr>
      <w:r w:rsidRPr="006A31AE">
        <w:rPr>
          <w:rFonts w:ascii="Arial" w:eastAsia="Times New Roman" w:hAnsi="Arial" w:cs="Arial"/>
          <w:bCs/>
          <w:sz w:val="24"/>
          <w:szCs w:val="24"/>
          <w:lang w:eastAsia="en-GB"/>
        </w:rPr>
        <w:t>The GLA’s report on Housing Characteristics</w:t>
      </w:r>
      <w:r w:rsidRPr="006A31AE">
        <w:rPr>
          <w:rFonts w:ascii="Arial" w:eastAsia="Times New Roman" w:hAnsi="Arial" w:cs="Arial"/>
          <w:bCs/>
          <w:sz w:val="24"/>
          <w:szCs w:val="24"/>
          <w:vertAlign w:val="superscript"/>
          <w:lang w:eastAsia="en-GB"/>
        </w:rPr>
        <w:footnoteReference w:id="5"/>
      </w:r>
      <w:r w:rsidRPr="006A31AE">
        <w:rPr>
          <w:rFonts w:ascii="Arial" w:eastAsia="Times New Roman" w:hAnsi="Arial" w:cs="Arial"/>
          <w:bCs/>
          <w:sz w:val="24"/>
          <w:szCs w:val="24"/>
          <w:lang w:eastAsia="en-GB"/>
        </w:rPr>
        <w:t>, highlighted that 72.0% o</w:t>
      </w:r>
      <w:r w:rsidRPr="006A31AE">
        <w:rPr>
          <w:rFonts w:ascii="Arial" w:eastAsia="Calibri" w:hAnsi="Arial" w:cs="Arial"/>
          <w:sz w:val="24"/>
          <w:szCs w:val="24"/>
        </w:rPr>
        <w:t xml:space="preserve">f houses in London were owner occupied of which owner occupied flats were 28.5%. Social rented housing in London was lower than Croydon and only accounted for 12.8% of all houses.  Likewise, private rented homes in London made up a smaller proportion of the total housing stock at 15.2% compared to Croydon’s 22.1%. </w:t>
      </w:r>
    </w:p>
    <w:p w:rsidR="006A31AE" w:rsidRDefault="006A31AE" w:rsidP="006A31AE">
      <w:pPr>
        <w:spacing w:after="0" w:line="276" w:lineRule="auto"/>
        <w:rPr>
          <w:rFonts w:ascii="Arial" w:eastAsia="Times New Roman" w:hAnsi="Arial" w:cs="Arial"/>
          <w:bCs/>
          <w:color w:val="000000"/>
          <w:sz w:val="24"/>
          <w:szCs w:val="24"/>
          <w:lang w:eastAsia="en-GB"/>
        </w:rPr>
      </w:pPr>
    </w:p>
    <w:p w:rsidR="00596A1A" w:rsidRPr="006A31AE" w:rsidRDefault="00596A1A" w:rsidP="006A31AE">
      <w:pPr>
        <w:spacing w:after="0" w:line="276" w:lineRule="auto"/>
        <w:rPr>
          <w:rFonts w:ascii="Arial" w:eastAsia="Times New Roman" w:hAnsi="Arial" w:cs="Arial"/>
          <w:bCs/>
          <w:color w:val="000000"/>
          <w:sz w:val="24"/>
          <w:szCs w:val="24"/>
          <w:lang w:eastAsia="en-GB"/>
        </w:rPr>
      </w:pPr>
    </w:p>
    <w:p w:rsidR="006A31AE" w:rsidRPr="006A31AE" w:rsidRDefault="006A31AE" w:rsidP="006A31AE">
      <w:pPr>
        <w:spacing w:after="240" w:line="276"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 xml:space="preserve">In the Census 2011, over half (50.8%) of households had a head of household who was aged between 25 and 49 years of age with 35.3% aged 50 to 74 years. There were only 3.6% of the households occupied by people aged 24 years or younger and at the other end, 1 in 10 (10.3%) that were headed by a person aged above 75 years.  </w:t>
      </w:r>
    </w:p>
    <w:p w:rsidR="006A31AE" w:rsidRPr="006A31AE" w:rsidRDefault="006A31AE" w:rsidP="006A31AE">
      <w:pPr>
        <w:spacing w:after="240" w:line="276" w:lineRule="auto"/>
        <w:rPr>
          <w:rFonts w:ascii="Arial" w:eastAsia="Times New Roman" w:hAnsi="Arial" w:cs="Arial"/>
          <w:bCs/>
          <w:sz w:val="24"/>
          <w:szCs w:val="24"/>
          <w:u w:val="single"/>
          <w:lang w:eastAsia="en-GB"/>
        </w:rPr>
      </w:pPr>
      <w:r w:rsidRPr="006A31AE">
        <w:rPr>
          <w:rFonts w:ascii="Arial" w:eastAsia="Times New Roman" w:hAnsi="Arial" w:cs="Arial"/>
          <w:bCs/>
          <w:sz w:val="24"/>
          <w:szCs w:val="24"/>
          <w:u w:val="single"/>
          <w:lang w:eastAsia="en-GB"/>
        </w:rPr>
        <w:t>Figure 1 - Tenure type by age bands in Croydon in 2011</w:t>
      </w:r>
    </w:p>
    <w:p w:rsidR="006A31AE" w:rsidRPr="006A31AE" w:rsidRDefault="006A31AE" w:rsidP="00600C44">
      <w:pPr>
        <w:spacing w:after="0" w:line="240" w:lineRule="auto"/>
        <w:rPr>
          <w:rFonts w:ascii="Arial" w:eastAsia="Times New Roman" w:hAnsi="Arial" w:cs="Arial"/>
          <w:bCs/>
          <w:sz w:val="24"/>
          <w:szCs w:val="24"/>
          <w:u w:val="single"/>
          <w:lang w:eastAsia="en-GB"/>
        </w:rPr>
      </w:pPr>
      <w:r w:rsidRPr="006A31AE">
        <w:rPr>
          <w:rFonts w:ascii="Arial" w:eastAsia="Times New Roman" w:hAnsi="Arial" w:cs="Arial"/>
          <w:bCs/>
          <w:noProof/>
          <w:sz w:val="24"/>
          <w:szCs w:val="24"/>
          <w:lang w:eastAsia="en-GB"/>
        </w:rPr>
        <w:drawing>
          <wp:inline distT="0" distB="0" distL="0" distR="0" wp14:anchorId="501E7BB0" wp14:editId="3C7BF9B6">
            <wp:extent cx="4317636" cy="2422525"/>
            <wp:effectExtent l="0" t="0" r="6985" b="0"/>
            <wp:docPr id="102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343563" cy="2437072"/>
                    </a:xfrm>
                    <a:prstGeom prst="rect">
                      <a:avLst/>
                    </a:prstGeom>
                    <a:noFill/>
                  </pic:spPr>
                </pic:pic>
              </a:graphicData>
            </a:graphic>
          </wp:inline>
        </w:drawing>
      </w:r>
    </w:p>
    <w:p w:rsidR="006A31AE" w:rsidRPr="006A31AE" w:rsidRDefault="006A31AE" w:rsidP="00600C44">
      <w:pPr>
        <w:spacing w:after="0" w:line="240" w:lineRule="auto"/>
        <w:rPr>
          <w:rFonts w:ascii="Arial" w:eastAsia="Times New Roman" w:hAnsi="Arial" w:cs="Arial"/>
          <w:sz w:val="20"/>
          <w:szCs w:val="20"/>
          <w:lang w:eastAsia="en-GB"/>
        </w:rPr>
      </w:pPr>
      <w:r w:rsidRPr="006A31AE">
        <w:rPr>
          <w:rFonts w:ascii="Arial" w:eastAsia="Times New Roman" w:hAnsi="Arial" w:cs="Arial"/>
          <w:sz w:val="20"/>
          <w:szCs w:val="20"/>
          <w:lang w:eastAsia="en-GB"/>
        </w:rPr>
        <w:t>Source: ONS, Census 2011, Table DC4201EW.</w:t>
      </w:r>
    </w:p>
    <w:p w:rsidR="006A31AE" w:rsidRDefault="006A31AE" w:rsidP="006A31AE">
      <w:pPr>
        <w:spacing w:after="0" w:line="276" w:lineRule="auto"/>
        <w:rPr>
          <w:rFonts w:ascii="Arial" w:eastAsia="Times New Roman" w:hAnsi="Arial" w:cs="Arial"/>
          <w:sz w:val="20"/>
          <w:szCs w:val="20"/>
          <w:lang w:eastAsia="en-GB"/>
        </w:rPr>
      </w:pPr>
    </w:p>
    <w:p w:rsidR="009A3CBD" w:rsidRPr="006A31AE" w:rsidRDefault="009A3CBD" w:rsidP="006A31AE">
      <w:pPr>
        <w:spacing w:after="0" w:line="276" w:lineRule="auto"/>
        <w:rPr>
          <w:rFonts w:ascii="Arial" w:eastAsia="Times New Roman" w:hAnsi="Arial" w:cs="Arial"/>
          <w:sz w:val="20"/>
          <w:szCs w:val="20"/>
          <w:lang w:eastAsia="en-GB"/>
        </w:rPr>
      </w:pPr>
    </w:p>
    <w:p w:rsidR="006A31AE" w:rsidRPr="006A31AE" w:rsidRDefault="006A31AE" w:rsidP="006A31AE">
      <w:pPr>
        <w:spacing w:after="0" w:line="276" w:lineRule="auto"/>
        <w:rPr>
          <w:rFonts w:ascii="Arial" w:eastAsia="Calibri" w:hAnsi="Arial" w:cs="Arial"/>
          <w:sz w:val="24"/>
          <w:szCs w:val="24"/>
        </w:rPr>
      </w:pPr>
      <w:r w:rsidRPr="006A31AE">
        <w:rPr>
          <w:rFonts w:ascii="Arial" w:eastAsia="Calibri" w:hAnsi="Arial" w:cs="Arial"/>
          <w:sz w:val="24"/>
          <w:szCs w:val="24"/>
        </w:rPr>
        <w:t xml:space="preserve">Croydon has the largest borough housing stock in London but its social housing stock is smaller than many other London boroughs.  Social housing in Croydon is mainly concentrated </w:t>
      </w:r>
    </w:p>
    <w:p w:rsidR="006A31AE" w:rsidRPr="006A31AE" w:rsidRDefault="006A31AE" w:rsidP="006A31AE">
      <w:pPr>
        <w:spacing w:after="0" w:line="276" w:lineRule="auto"/>
        <w:rPr>
          <w:rFonts w:ascii="Arial" w:eastAsia="Calibri" w:hAnsi="Arial" w:cs="Arial"/>
          <w:sz w:val="24"/>
          <w:szCs w:val="24"/>
        </w:rPr>
      </w:pPr>
    </w:p>
    <w:p w:rsidR="006A31AE" w:rsidRPr="006A31AE" w:rsidRDefault="006A31AE" w:rsidP="006A31AE">
      <w:pPr>
        <w:spacing w:after="0" w:line="276" w:lineRule="auto"/>
        <w:rPr>
          <w:rFonts w:ascii="Arial" w:eastAsia="Calibri" w:hAnsi="Arial" w:cs="Arial"/>
          <w:sz w:val="24"/>
          <w:szCs w:val="24"/>
        </w:rPr>
      </w:pPr>
    </w:p>
    <w:p w:rsidR="006A31AE" w:rsidRPr="006A31AE" w:rsidRDefault="006A31AE" w:rsidP="006A31AE">
      <w:pPr>
        <w:spacing w:after="0" w:line="276" w:lineRule="auto"/>
        <w:rPr>
          <w:rFonts w:ascii="Arial" w:eastAsia="Calibri" w:hAnsi="Arial" w:cs="Arial"/>
          <w:sz w:val="24"/>
          <w:szCs w:val="24"/>
        </w:rPr>
      </w:pPr>
    </w:p>
    <w:p w:rsidR="006A31AE" w:rsidRPr="006A31AE" w:rsidRDefault="006A31AE" w:rsidP="006A31AE">
      <w:pPr>
        <w:spacing w:after="0" w:line="276" w:lineRule="auto"/>
        <w:rPr>
          <w:rFonts w:ascii="Arial" w:eastAsia="Calibri" w:hAnsi="Arial" w:cs="Arial"/>
          <w:sz w:val="24"/>
          <w:szCs w:val="24"/>
        </w:rPr>
      </w:pPr>
      <w:r w:rsidRPr="006A31AE">
        <w:rPr>
          <w:rFonts w:ascii="Arial" w:eastAsia="Calibri" w:hAnsi="Arial" w:cs="Arial"/>
          <w:sz w:val="24"/>
          <w:szCs w:val="24"/>
        </w:rPr>
        <w:t>In the north and the eastern edge of the borough.  The 2011 Census showed that the eastern wards of Fieldway and New Addington had the highest proportions of social housing (council homes and other) with 60.6% and 42.2% respectively.  Selsdon and Ballards had the lowest percentage of social housing at only 2.0%.</w:t>
      </w:r>
    </w:p>
    <w:p w:rsidR="006A31AE" w:rsidRPr="006A31AE" w:rsidRDefault="006A31AE" w:rsidP="006A31AE">
      <w:pPr>
        <w:spacing w:after="0" w:line="276" w:lineRule="auto"/>
        <w:rPr>
          <w:rFonts w:ascii="Arial" w:eastAsia="Calibri" w:hAnsi="Arial" w:cs="Arial"/>
          <w:sz w:val="24"/>
          <w:szCs w:val="24"/>
        </w:rPr>
      </w:pPr>
    </w:p>
    <w:p w:rsidR="006A31AE" w:rsidRPr="006A31AE" w:rsidRDefault="006A31AE" w:rsidP="006A31AE">
      <w:pPr>
        <w:spacing w:after="240" w:line="276" w:lineRule="auto"/>
        <w:rPr>
          <w:rFonts w:ascii="Arial" w:eastAsia="Times New Roman" w:hAnsi="Arial" w:cs="Arial"/>
          <w:bCs/>
          <w:sz w:val="24"/>
          <w:szCs w:val="24"/>
          <w:u w:val="single"/>
          <w:lang w:eastAsia="en-GB"/>
        </w:rPr>
      </w:pPr>
      <w:r w:rsidRPr="006A31AE">
        <w:rPr>
          <w:rFonts w:ascii="Arial" w:eastAsia="Times New Roman" w:hAnsi="Arial" w:cs="Arial"/>
          <w:bCs/>
          <w:sz w:val="24"/>
          <w:szCs w:val="24"/>
          <w:u w:val="single"/>
          <w:lang w:eastAsia="en-GB"/>
        </w:rPr>
        <w:t>Figure 2 – Percentage in rented accommodation by ward in Croydon in 2011</w:t>
      </w:r>
    </w:p>
    <w:p w:rsidR="006A31AE" w:rsidRPr="006A31AE" w:rsidRDefault="006A31AE" w:rsidP="00600C44">
      <w:pPr>
        <w:spacing w:after="0" w:line="240" w:lineRule="auto"/>
        <w:rPr>
          <w:rFonts w:ascii="Arial" w:eastAsia="Times New Roman" w:hAnsi="Arial" w:cs="Arial"/>
          <w:bCs/>
          <w:sz w:val="24"/>
          <w:szCs w:val="24"/>
          <w:u w:val="single"/>
          <w:lang w:eastAsia="en-GB"/>
        </w:rPr>
      </w:pPr>
      <w:r w:rsidRPr="006A31AE">
        <w:rPr>
          <w:rFonts w:ascii="Arial" w:eastAsia="Times New Roman" w:hAnsi="Arial" w:cs="Arial"/>
          <w:bCs/>
          <w:noProof/>
          <w:sz w:val="24"/>
          <w:szCs w:val="24"/>
          <w:lang w:eastAsia="en-GB"/>
        </w:rPr>
        <w:drawing>
          <wp:inline distT="0" distB="0" distL="0" distR="0" wp14:anchorId="7B278EBC" wp14:editId="379BB769">
            <wp:extent cx="4229100" cy="2894343"/>
            <wp:effectExtent l="0" t="0" r="0" b="1270"/>
            <wp:docPr id="10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253883" cy="2911304"/>
                    </a:xfrm>
                    <a:prstGeom prst="rect">
                      <a:avLst/>
                    </a:prstGeom>
                    <a:noFill/>
                  </pic:spPr>
                </pic:pic>
              </a:graphicData>
            </a:graphic>
          </wp:inline>
        </w:drawing>
      </w:r>
    </w:p>
    <w:p w:rsidR="006A31AE" w:rsidRPr="006A31AE" w:rsidRDefault="006A31AE" w:rsidP="00600C44">
      <w:pPr>
        <w:spacing w:after="0" w:line="240" w:lineRule="auto"/>
        <w:rPr>
          <w:rFonts w:ascii="Arial" w:eastAsia="Times New Roman" w:hAnsi="Arial" w:cs="Arial"/>
          <w:sz w:val="20"/>
          <w:szCs w:val="20"/>
          <w:lang w:eastAsia="en-GB"/>
        </w:rPr>
      </w:pPr>
      <w:r w:rsidRPr="006A31AE">
        <w:rPr>
          <w:rFonts w:ascii="Arial" w:eastAsia="Times New Roman" w:hAnsi="Arial" w:cs="Arial"/>
          <w:sz w:val="20"/>
          <w:szCs w:val="20"/>
          <w:lang w:eastAsia="en-GB"/>
        </w:rPr>
        <w:t>Source: ONS, Census 2011, Table DC4201EW.</w:t>
      </w:r>
    </w:p>
    <w:p w:rsidR="006A31AE" w:rsidRPr="006A31AE" w:rsidRDefault="006A31AE" w:rsidP="00600C44">
      <w:pPr>
        <w:spacing w:after="0" w:line="240" w:lineRule="auto"/>
        <w:rPr>
          <w:rFonts w:ascii="Arial" w:eastAsia="Calibri" w:hAnsi="Arial" w:cs="Arial"/>
          <w:sz w:val="28"/>
          <w:szCs w:val="24"/>
        </w:rPr>
      </w:pPr>
    </w:p>
    <w:p w:rsidR="006A31AE" w:rsidRPr="006A31AE" w:rsidRDefault="006A31AE" w:rsidP="006A31AE">
      <w:pPr>
        <w:spacing w:after="0" w:line="276" w:lineRule="auto"/>
        <w:outlineLvl w:val="0"/>
        <w:rPr>
          <w:rFonts w:ascii="Arial" w:eastAsia="Times New Roman" w:hAnsi="Arial" w:cs="Arial"/>
          <w:b/>
          <w:bCs/>
          <w:color w:val="701471"/>
          <w:sz w:val="28"/>
          <w:szCs w:val="24"/>
          <w:lang w:eastAsia="en-GB"/>
        </w:rPr>
      </w:pPr>
      <w:bookmarkStart w:id="16" w:name="_Cost_of_property"/>
      <w:bookmarkEnd w:id="16"/>
    </w:p>
    <w:p w:rsidR="006A31AE" w:rsidRPr="006A31AE" w:rsidRDefault="006A31AE" w:rsidP="006A31AE">
      <w:pPr>
        <w:spacing w:after="0" w:line="276" w:lineRule="auto"/>
        <w:outlineLvl w:val="0"/>
        <w:rPr>
          <w:rFonts w:ascii="Arial" w:eastAsia="Times New Roman" w:hAnsi="Arial" w:cs="Arial"/>
          <w:b/>
          <w:bCs/>
          <w:color w:val="701471"/>
          <w:sz w:val="28"/>
          <w:szCs w:val="24"/>
          <w:lang w:eastAsia="en-GB"/>
        </w:rPr>
      </w:pPr>
    </w:p>
    <w:p w:rsidR="007B0710" w:rsidRDefault="007B0710" w:rsidP="006A31AE">
      <w:pPr>
        <w:spacing w:after="0" w:line="276"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76"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Cost of property</w:t>
      </w:r>
    </w:p>
    <w:p w:rsidR="006A31AE" w:rsidRPr="006A31AE" w:rsidRDefault="006A31AE" w:rsidP="006A31AE">
      <w:pPr>
        <w:spacing w:after="0" w:line="276" w:lineRule="auto"/>
        <w:outlineLvl w:val="0"/>
        <w:rPr>
          <w:rFonts w:ascii="Arial" w:eastAsia="Times New Roman" w:hAnsi="Arial" w:cs="Arial"/>
          <w:b/>
          <w:bCs/>
          <w:sz w:val="28"/>
          <w:szCs w:val="24"/>
          <w:lang w:eastAsia="en-GB"/>
        </w:rPr>
      </w:pP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The number of house sales in Croydon increased by 25% from 2013 to 2014, prior to Brexit.  Since then, the volume of property sales has decreased to around the high 5,000 level.  In 2016, the number of sales dropped to around 5,300 possibly due to the uncertainty of the property market following the Brexit outcome. These figures do not include “right to buy” sales, or properties sold for less than £1,000 or more than £20 million.</w:t>
      </w:r>
    </w:p>
    <w:p w:rsidR="006A31AE" w:rsidRPr="006A31AE" w:rsidRDefault="006A31AE" w:rsidP="006A31AE">
      <w:pPr>
        <w:spacing w:after="200" w:line="276" w:lineRule="auto"/>
        <w:rPr>
          <w:rFonts w:ascii="Arial" w:eastAsia="Calibri" w:hAnsi="Arial" w:cs="Arial"/>
          <w:sz w:val="24"/>
          <w:szCs w:val="24"/>
          <w:u w:val="single"/>
        </w:rPr>
      </w:pPr>
      <w:r w:rsidRPr="006A31AE">
        <w:rPr>
          <w:rFonts w:ascii="Arial" w:eastAsia="Calibri" w:hAnsi="Arial" w:cs="Arial"/>
          <w:sz w:val="24"/>
          <w:szCs w:val="24"/>
          <w:u w:val="single"/>
        </w:rPr>
        <w:t>Figure 3 – House sales in Croydon 2013-2017</w:t>
      </w:r>
    </w:p>
    <w:p w:rsidR="006A31AE" w:rsidRDefault="006A31AE" w:rsidP="00600C44">
      <w:pPr>
        <w:spacing w:after="0" w:line="240" w:lineRule="auto"/>
        <w:rPr>
          <w:rFonts w:ascii="Arial" w:eastAsia="Calibri" w:hAnsi="Arial" w:cs="Arial"/>
          <w:sz w:val="24"/>
          <w:szCs w:val="24"/>
        </w:rPr>
      </w:pPr>
      <w:r w:rsidRPr="006A31AE">
        <w:rPr>
          <w:rFonts w:ascii="Arial" w:eastAsia="Calibri" w:hAnsi="Arial" w:cs="Arial"/>
          <w:noProof/>
          <w:sz w:val="24"/>
          <w:szCs w:val="24"/>
          <w:lang w:eastAsia="en-GB"/>
        </w:rPr>
        <w:drawing>
          <wp:inline distT="0" distB="0" distL="0" distR="0" wp14:anchorId="6BD80D62" wp14:editId="5A866B6D">
            <wp:extent cx="4023360" cy="2293620"/>
            <wp:effectExtent l="0" t="0" r="15240" b="11430"/>
            <wp:docPr id="140" name="Chart 1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6A31AE" w:rsidRPr="006A31AE" w:rsidRDefault="006A31AE" w:rsidP="00600C44">
      <w:pPr>
        <w:spacing w:after="0" w:line="240" w:lineRule="auto"/>
        <w:rPr>
          <w:rFonts w:ascii="Arial" w:eastAsia="Calibri" w:hAnsi="Arial" w:cs="Arial"/>
          <w:sz w:val="20"/>
          <w:szCs w:val="24"/>
        </w:rPr>
      </w:pPr>
      <w:r w:rsidRPr="006A31AE">
        <w:rPr>
          <w:rFonts w:ascii="Arial" w:eastAsia="Calibri" w:hAnsi="Arial" w:cs="Arial"/>
          <w:sz w:val="20"/>
          <w:szCs w:val="24"/>
        </w:rPr>
        <w:t>Source: GLA Housing Sales dataset based on Land Registry data.</w:t>
      </w:r>
    </w:p>
    <w:p w:rsidR="006A31AE" w:rsidRDefault="006A31AE" w:rsidP="006A31AE">
      <w:pPr>
        <w:spacing w:after="200" w:line="276" w:lineRule="auto"/>
        <w:rPr>
          <w:rFonts w:ascii="Arial" w:eastAsia="Calibri" w:hAnsi="Arial" w:cs="Arial"/>
          <w:sz w:val="24"/>
          <w:szCs w:val="24"/>
        </w:rPr>
      </w:pPr>
    </w:p>
    <w:p w:rsidR="008D1CBF" w:rsidRDefault="008D1CBF" w:rsidP="006A31AE">
      <w:pPr>
        <w:spacing w:after="200" w:line="276" w:lineRule="auto"/>
        <w:rPr>
          <w:rFonts w:ascii="Arial" w:eastAsia="Calibri" w:hAnsi="Arial" w:cs="Arial"/>
          <w:sz w:val="24"/>
          <w:szCs w:val="24"/>
        </w:rPr>
      </w:pP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The median cost of properties in Croydon has risen by 52% from £240,000 in 2013 to £365,000 in 2017. However, these figures are strongly influenced by the housing mix. In Croydon there is a high proportion of sales of flats and apartments which are quite over-priced and this raises the median cost of properties in the borough.</w:t>
      </w: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The last 5 years has seen an increase in the average price of properties in the borough.  Every property type has increased in value, year on year, from detached houses to one bedroom flats, as shown in Figure 4.</w:t>
      </w:r>
    </w:p>
    <w:p w:rsidR="006A31AE" w:rsidRPr="006A31AE" w:rsidRDefault="006A31AE" w:rsidP="006A31AE">
      <w:pPr>
        <w:spacing w:after="200" w:line="276" w:lineRule="auto"/>
        <w:rPr>
          <w:rFonts w:ascii="Arial" w:eastAsia="Calibri" w:hAnsi="Arial" w:cs="Arial"/>
          <w:sz w:val="24"/>
          <w:szCs w:val="24"/>
          <w:u w:val="single"/>
        </w:rPr>
      </w:pPr>
      <w:r w:rsidRPr="006A31AE">
        <w:rPr>
          <w:rFonts w:ascii="Arial" w:eastAsia="Calibri" w:hAnsi="Arial" w:cs="Arial"/>
          <w:sz w:val="24"/>
          <w:szCs w:val="24"/>
          <w:u w:val="single"/>
        </w:rPr>
        <w:t>Figure 4 – Change in property prices</w:t>
      </w:r>
    </w:p>
    <w:p w:rsidR="006A31AE" w:rsidRPr="006A31AE" w:rsidRDefault="006A31AE" w:rsidP="008D1CBF">
      <w:pPr>
        <w:spacing w:after="0" w:line="240" w:lineRule="auto"/>
        <w:rPr>
          <w:rFonts w:ascii="Arial" w:eastAsia="Calibri" w:hAnsi="Arial" w:cs="Arial"/>
          <w:sz w:val="24"/>
          <w:szCs w:val="24"/>
          <w:u w:val="single"/>
        </w:rPr>
      </w:pPr>
      <w:r w:rsidRPr="006A31AE">
        <w:rPr>
          <w:rFonts w:ascii="Arial" w:eastAsia="Calibri" w:hAnsi="Arial" w:cs="Arial"/>
          <w:noProof/>
          <w:sz w:val="24"/>
          <w:szCs w:val="24"/>
          <w:lang w:eastAsia="en-GB"/>
        </w:rPr>
        <w:drawing>
          <wp:inline distT="0" distB="0" distL="0" distR="0" wp14:anchorId="71D41421" wp14:editId="70152687">
            <wp:extent cx="4268470" cy="2300567"/>
            <wp:effectExtent l="0" t="0" r="17780" b="5080"/>
            <wp:docPr id="132" name="Chart 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6A31AE" w:rsidRPr="006A31AE" w:rsidRDefault="006A31AE" w:rsidP="008D1CBF">
      <w:pPr>
        <w:spacing w:after="0" w:line="240" w:lineRule="auto"/>
        <w:rPr>
          <w:rFonts w:ascii="Arial" w:eastAsia="Calibri" w:hAnsi="Arial" w:cs="Arial"/>
          <w:sz w:val="20"/>
          <w:szCs w:val="24"/>
        </w:rPr>
      </w:pPr>
      <w:r w:rsidRPr="006A31AE">
        <w:rPr>
          <w:rFonts w:ascii="Arial" w:eastAsia="Calibri" w:hAnsi="Arial" w:cs="Arial"/>
          <w:sz w:val="20"/>
          <w:szCs w:val="24"/>
        </w:rPr>
        <w:t>Source: GLA Average House Prices dataset based on Land Registry data.</w:t>
      </w:r>
    </w:p>
    <w:p w:rsidR="006A31AE" w:rsidRPr="006A31AE" w:rsidRDefault="006A31AE" w:rsidP="006A31AE">
      <w:pPr>
        <w:spacing w:after="200" w:line="276" w:lineRule="auto"/>
        <w:rPr>
          <w:rFonts w:ascii="Arial" w:eastAsia="Calibri" w:hAnsi="Arial" w:cs="Arial"/>
          <w:sz w:val="24"/>
          <w:szCs w:val="24"/>
        </w:rPr>
      </w:pPr>
    </w:p>
    <w:p w:rsidR="008D1CBF" w:rsidRDefault="008D1CBF" w:rsidP="006A31AE">
      <w:pPr>
        <w:spacing w:after="200" w:line="276" w:lineRule="auto"/>
        <w:rPr>
          <w:rFonts w:ascii="Arial" w:eastAsia="Calibri" w:hAnsi="Arial" w:cs="Arial"/>
          <w:sz w:val="24"/>
          <w:szCs w:val="24"/>
        </w:rPr>
      </w:pPr>
    </w:p>
    <w:p w:rsid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 xml:space="preserve">Despite the rising property prices, Croydon has the fourth lowest ratio of average earnings (for full-time workers) to average house prices across London so remains one of the more affordable boroughs to live in. </w:t>
      </w:r>
    </w:p>
    <w:p w:rsidR="006A31AE" w:rsidRPr="006A31AE" w:rsidRDefault="006A31AE" w:rsidP="006A31AE">
      <w:pPr>
        <w:spacing w:after="200" w:line="276" w:lineRule="auto"/>
        <w:rPr>
          <w:rFonts w:ascii="Arial" w:eastAsia="Calibri" w:hAnsi="Arial" w:cs="Arial"/>
          <w:sz w:val="24"/>
          <w:szCs w:val="24"/>
          <w:u w:val="single"/>
        </w:rPr>
      </w:pPr>
      <w:r w:rsidRPr="006A31AE">
        <w:rPr>
          <w:rFonts w:ascii="Arial" w:eastAsia="Calibri" w:hAnsi="Arial" w:cs="Arial"/>
          <w:sz w:val="24"/>
          <w:szCs w:val="24"/>
          <w:u w:val="single"/>
        </w:rPr>
        <w:t>Figure 5: Ratio of house prices to earnings</w:t>
      </w:r>
    </w:p>
    <w:p w:rsidR="006A31AE" w:rsidRPr="006A31AE" w:rsidRDefault="006A31AE" w:rsidP="00600C44">
      <w:pPr>
        <w:spacing w:after="0" w:line="240" w:lineRule="auto"/>
        <w:rPr>
          <w:rFonts w:ascii="Arial" w:eastAsia="Calibri" w:hAnsi="Arial" w:cs="Arial"/>
          <w:sz w:val="24"/>
          <w:szCs w:val="24"/>
        </w:rPr>
      </w:pPr>
      <w:r w:rsidRPr="006A31AE">
        <w:rPr>
          <w:rFonts w:ascii="Arial" w:eastAsia="Calibri" w:hAnsi="Arial" w:cs="Arial"/>
          <w:noProof/>
          <w:sz w:val="24"/>
          <w:szCs w:val="24"/>
          <w:lang w:eastAsia="en-GB"/>
        </w:rPr>
        <w:drawing>
          <wp:inline distT="0" distB="0" distL="0" distR="0" wp14:anchorId="767402A6" wp14:editId="5B969303">
            <wp:extent cx="4091940" cy="2385060"/>
            <wp:effectExtent l="0" t="0" r="3810" b="15240"/>
            <wp:docPr id="1042" name="Chart 10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7"/>
              </a:graphicData>
            </a:graphic>
          </wp:inline>
        </w:drawing>
      </w:r>
      <w:r w:rsidRPr="006A31AE">
        <w:rPr>
          <w:rFonts w:ascii="Arial" w:eastAsia="Calibri" w:hAnsi="Arial" w:cs="Arial"/>
          <w:noProof/>
          <w:sz w:val="24"/>
          <w:szCs w:val="24"/>
          <w:lang w:eastAsia="en-GB"/>
        </w:rPr>
        <w:t xml:space="preserve"> </w:t>
      </w:r>
    </w:p>
    <w:p w:rsidR="006A31AE" w:rsidRPr="006A31AE" w:rsidRDefault="006A31AE" w:rsidP="00600C44">
      <w:pPr>
        <w:spacing w:after="0" w:line="240" w:lineRule="auto"/>
        <w:rPr>
          <w:rFonts w:ascii="Arial" w:eastAsia="Calibri" w:hAnsi="Arial" w:cs="Arial"/>
          <w:sz w:val="20"/>
          <w:szCs w:val="24"/>
        </w:rPr>
      </w:pPr>
      <w:r w:rsidRPr="006A31AE">
        <w:rPr>
          <w:rFonts w:ascii="Arial" w:eastAsia="Calibri" w:hAnsi="Arial" w:cs="Arial"/>
          <w:sz w:val="20"/>
          <w:szCs w:val="24"/>
        </w:rPr>
        <w:t>Source: GLA Ratio of House Prices to Earnings (full-time workers by place of work), 2017</w:t>
      </w:r>
    </w:p>
    <w:p w:rsidR="006A31AE" w:rsidRPr="006A31AE" w:rsidRDefault="006A31AE" w:rsidP="006A31AE">
      <w:pPr>
        <w:spacing w:after="0" w:line="276" w:lineRule="auto"/>
        <w:rPr>
          <w:rFonts w:ascii="Arial" w:eastAsia="Calibri" w:hAnsi="Arial" w:cs="Arial"/>
          <w:sz w:val="20"/>
          <w:szCs w:val="24"/>
        </w:rPr>
      </w:pPr>
    </w:p>
    <w:p w:rsidR="006A31AE" w:rsidRDefault="006A31AE" w:rsidP="006A31AE">
      <w:pPr>
        <w:spacing w:after="0" w:line="276" w:lineRule="auto"/>
        <w:rPr>
          <w:rFonts w:ascii="Arial" w:eastAsia="Calibri" w:hAnsi="Arial" w:cs="Arial"/>
          <w:sz w:val="20"/>
          <w:szCs w:val="24"/>
        </w:rPr>
      </w:pPr>
    </w:p>
    <w:p w:rsidR="008D1CBF" w:rsidRDefault="008D1CBF" w:rsidP="006A31AE">
      <w:pPr>
        <w:spacing w:after="0" w:line="276" w:lineRule="auto"/>
        <w:rPr>
          <w:rFonts w:ascii="Arial" w:eastAsia="Calibri" w:hAnsi="Arial" w:cs="Arial"/>
          <w:sz w:val="20"/>
          <w:szCs w:val="24"/>
        </w:rPr>
      </w:pPr>
    </w:p>
    <w:p w:rsidR="008D1CBF" w:rsidRDefault="008D1CBF" w:rsidP="006A31AE">
      <w:pPr>
        <w:spacing w:after="0" w:line="276" w:lineRule="auto"/>
        <w:rPr>
          <w:rFonts w:ascii="Arial" w:eastAsia="Calibri" w:hAnsi="Arial" w:cs="Arial"/>
          <w:sz w:val="20"/>
          <w:szCs w:val="24"/>
        </w:rPr>
      </w:pPr>
    </w:p>
    <w:p w:rsidR="008D1CBF" w:rsidRDefault="008D1CBF" w:rsidP="006A31AE">
      <w:pPr>
        <w:spacing w:after="0" w:line="276" w:lineRule="auto"/>
        <w:rPr>
          <w:rFonts w:ascii="Arial" w:eastAsia="Calibri" w:hAnsi="Arial" w:cs="Arial"/>
          <w:sz w:val="20"/>
          <w:szCs w:val="24"/>
        </w:rPr>
      </w:pPr>
    </w:p>
    <w:p w:rsidR="008D1CBF" w:rsidRDefault="008D1CBF" w:rsidP="006A31AE">
      <w:pPr>
        <w:spacing w:after="0" w:line="276" w:lineRule="auto"/>
        <w:rPr>
          <w:rFonts w:ascii="Arial" w:eastAsia="Calibri" w:hAnsi="Arial" w:cs="Arial"/>
          <w:sz w:val="20"/>
          <w:szCs w:val="24"/>
        </w:rPr>
      </w:pPr>
    </w:p>
    <w:p w:rsidR="008D1CBF" w:rsidRDefault="008D1CBF" w:rsidP="006A31AE">
      <w:pPr>
        <w:spacing w:after="0" w:line="276" w:lineRule="auto"/>
        <w:rPr>
          <w:rFonts w:ascii="Arial" w:eastAsia="Calibri" w:hAnsi="Arial" w:cs="Arial"/>
          <w:sz w:val="20"/>
          <w:szCs w:val="24"/>
        </w:rPr>
      </w:pPr>
    </w:p>
    <w:p w:rsidR="008D1CBF" w:rsidRDefault="008D1CBF" w:rsidP="006A31AE">
      <w:pPr>
        <w:spacing w:after="0" w:line="276" w:lineRule="auto"/>
        <w:rPr>
          <w:rFonts w:ascii="Arial" w:eastAsia="Calibri" w:hAnsi="Arial" w:cs="Arial"/>
          <w:sz w:val="20"/>
          <w:szCs w:val="24"/>
        </w:rPr>
      </w:pPr>
    </w:p>
    <w:p w:rsidR="008D1CBF" w:rsidRPr="006A31AE" w:rsidRDefault="008D1CBF" w:rsidP="006A31AE">
      <w:pPr>
        <w:spacing w:after="0" w:line="276" w:lineRule="auto"/>
        <w:rPr>
          <w:rFonts w:ascii="Arial" w:eastAsia="Calibri" w:hAnsi="Arial" w:cs="Arial"/>
          <w:sz w:val="20"/>
          <w:szCs w:val="24"/>
        </w:rPr>
      </w:pPr>
    </w:p>
    <w:p w:rsidR="00E1567D" w:rsidRDefault="00E1567D" w:rsidP="006A31AE">
      <w:pPr>
        <w:spacing w:after="200" w:line="276" w:lineRule="auto"/>
        <w:rPr>
          <w:rFonts w:ascii="Arial" w:eastAsia="Calibri" w:hAnsi="Arial" w:cs="Arial"/>
          <w:sz w:val="24"/>
          <w:szCs w:val="24"/>
        </w:rPr>
      </w:pPr>
    </w:p>
    <w:p w:rsid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Nationally, around 78% of households, where the main reference person is aged over 65 years, own their own homes. Figure 6 shows that</w:t>
      </w:r>
      <w:r w:rsidR="008D1CBF">
        <w:rPr>
          <w:rFonts w:ascii="Arial" w:eastAsia="Calibri" w:hAnsi="Arial" w:cs="Arial"/>
          <w:sz w:val="24"/>
          <w:szCs w:val="24"/>
        </w:rPr>
        <w:t xml:space="preserve"> there has been a decrease over </w:t>
      </w:r>
      <w:r w:rsidRPr="006A31AE">
        <w:rPr>
          <w:rFonts w:ascii="Arial" w:eastAsia="Calibri" w:hAnsi="Arial" w:cs="Arial"/>
          <w:sz w:val="24"/>
          <w:szCs w:val="24"/>
        </w:rPr>
        <w:t>the last five years’ worth of data for those aged 35-44 years who own their own properties.  For the 16-24 and 25-34 year age groups, the proportion based on 5 year averages is around 9% and 38% respectively.</w:t>
      </w:r>
    </w:p>
    <w:p w:rsidR="006A31AE" w:rsidRPr="006A31AE" w:rsidRDefault="006A31AE" w:rsidP="006A31AE">
      <w:pPr>
        <w:spacing w:after="200" w:line="276" w:lineRule="auto"/>
        <w:ind w:right="-321"/>
        <w:rPr>
          <w:rFonts w:ascii="Arial" w:eastAsia="Calibri" w:hAnsi="Arial" w:cs="Arial"/>
          <w:sz w:val="24"/>
          <w:szCs w:val="24"/>
          <w:u w:val="single"/>
        </w:rPr>
      </w:pPr>
      <w:r w:rsidRPr="006A31AE">
        <w:rPr>
          <w:rFonts w:ascii="Arial" w:eastAsia="Calibri" w:hAnsi="Arial" w:cs="Arial"/>
          <w:sz w:val="24"/>
          <w:szCs w:val="24"/>
          <w:u w:val="single"/>
        </w:rPr>
        <w:t>Figure 6: Percentage of each age group that are owner occupiers</w:t>
      </w:r>
    </w:p>
    <w:p w:rsidR="006A31AE" w:rsidRPr="006A31AE" w:rsidRDefault="006A31AE" w:rsidP="00600C44">
      <w:pPr>
        <w:spacing w:after="0" w:line="240" w:lineRule="auto"/>
        <w:rPr>
          <w:rFonts w:ascii="Arial" w:eastAsia="Calibri" w:hAnsi="Arial" w:cs="Arial"/>
          <w:sz w:val="24"/>
          <w:szCs w:val="24"/>
        </w:rPr>
      </w:pPr>
      <w:r w:rsidRPr="006A31AE">
        <w:rPr>
          <w:rFonts w:ascii="Arial" w:eastAsia="Calibri" w:hAnsi="Arial" w:cs="Arial"/>
          <w:noProof/>
          <w:sz w:val="24"/>
          <w:szCs w:val="24"/>
          <w:lang w:eastAsia="en-GB"/>
        </w:rPr>
        <w:drawing>
          <wp:inline distT="0" distB="0" distL="0" distR="0" wp14:anchorId="3A92CBE8" wp14:editId="2CA559C0">
            <wp:extent cx="4226560" cy="2613660"/>
            <wp:effectExtent l="0" t="0" r="2540" b="15240"/>
            <wp:docPr id="142" name="Chart 1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6A31AE" w:rsidRPr="006A31AE" w:rsidRDefault="006A31AE" w:rsidP="00600C44">
      <w:pPr>
        <w:shd w:val="clear" w:color="auto" w:fill="FFFFFF"/>
        <w:spacing w:after="0" w:line="240" w:lineRule="auto"/>
        <w:ind w:right="-82"/>
        <w:textAlignment w:val="baseline"/>
        <w:outlineLvl w:val="0"/>
        <w:rPr>
          <w:rFonts w:ascii="Arial" w:eastAsia="Times New Roman" w:hAnsi="Arial" w:cs="Arial"/>
          <w:bCs/>
          <w:sz w:val="20"/>
          <w:szCs w:val="24"/>
          <w:lang w:eastAsia="en-GB"/>
        </w:rPr>
      </w:pPr>
      <w:r w:rsidRPr="006A31AE">
        <w:rPr>
          <w:rFonts w:ascii="Arial" w:eastAsia="Times New Roman" w:hAnsi="Arial" w:cs="Arial"/>
          <w:bCs/>
          <w:sz w:val="20"/>
          <w:szCs w:val="24"/>
          <w:lang w:eastAsia="en-GB"/>
        </w:rPr>
        <w:t>Source: DCLG, Owner occupiers, recent first time buyers and second homes, Table FC2101, 2017.</w:t>
      </w:r>
    </w:p>
    <w:p w:rsidR="006A31AE" w:rsidRDefault="006A31AE" w:rsidP="006A31AE">
      <w:pPr>
        <w:shd w:val="clear" w:color="auto" w:fill="FFFFFF"/>
        <w:spacing w:after="0" w:line="276" w:lineRule="auto"/>
        <w:textAlignment w:val="baseline"/>
        <w:outlineLvl w:val="0"/>
        <w:rPr>
          <w:rFonts w:ascii="Arial" w:eastAsia="Times New Roman" w:hAnsi="Arial" w:cs="Arial"/>
          <w:bCs/>
          <w:sz w:val="24"/>
          <w:szCs w:val="24"/>
          <w:lang w:eastAsia="en-GB"/>
        </w:rPr>
      </w:pPr>
    </w:p>
    <w:p w:rsidR="008D1CBF" w:rsidRDefault="008D1CBF" w:rsidP="006A31AE">
      <w:pPr>
        <w:shd w:val="clear" w:color="auto" w:fill="FFFFFF"/>
        <w:spacing w:after="0" w:line="276" w:lineRule="auto"/>
        <w:textAlignment w:val="baseline"/>
        <w:outlineLvl w:val="0"/>
        <w:rPr>
          <w:rFonts w:ascii="Arial" w:eastAsia="Times New Roman" w:hAnsi="Arial" w:cs="Arial"/>
          <w:bCs/>
          <w:sz w:val="24"/>
          <w:szCs w:val="24"/>
          <w:lang w:eastAsia="en-GB"/>
        </w:rPr>
      </w:pPr>
    </w:p>
    <w:p w:rsidR="008D1CBF" w:rsidRDefault="008D1CBF" w:rsidP="006A31AE">
      <w:pPr>
        <w:shd w:val="clear" w:color="auto" w:fill="FFFFFF"/>
        <w:spacing w:after="0" w:line="276" w:lineRule="auto"/>
        <w:textAlignment w:val="baseline"/>
        <w:outlineLvl w:val="0"/>
        <w:rPr>
          <w:rFonts w:ascii="Arial" w:eastAsia="Times New Roman" w:hAnsi="Arial" w:cs="Arial"/>
          <w:bCs/>
          <w:sz w:val="24"/>
          <w:szCs w:val="24"/>
          <w:lang w:eastAsia="en-GB"/>
        </w:rPr>
      </w:pPr>
    </w:p>
    <w:p w:rsidR="008D1CBF" w:rsidRDefault="008D1CBF" w:rsidP="006A31AE">
      <w:pPr>
        <w:shd w:val="clear" w:color="auto" w:fill="FFFFFF"/>
        <w:spacing w:after="0" w:line="276" w:lineRule="auto"/>
        <w:textAlignment w:val="baseline"/>
        <w:outlineLvl w:val="0"/>
        <w:rPr>
          <w:rFonts w:ascii="Arial" w:eastAsia="Times New Roman" w:hAnsi="Arial" w:cs="Arial"/>
          <w:bCs/>
          <w:sz w:val="24"/>
          <w:szCs w:val="24"/>
          <w:lang w:eastAsia="en-GB"/>
        </w:rPr>
      </w:pPr>
    </w:p>
    <w:p w:rsidR="008D1CBF" w:rsidRDefault="008D1CBF" w:rsidP="006A31AE">
      <w:pPr>
        <w:shd w:val="clear" w:color="auto" w:fill="FFFFFF"/>
        <w:spacing w:after="0" w:line="276" w:lineRule="auto"/>
        <w:textAlignment w:val="baseline"/>
        <w:outlineLvl w:val="0"/>
        <w:rPr>
          <w:rFonts w:ascii="Arial" w:eastAsia="Times New Roman" w:hAnsi="Arial" w:cs="Arial"/>
          <w:bCs/>
          <w:sz w:val="24"/>
          <w:szCs w:val="24"/>
          <w:lang w:eastAsia="en-GB"/>
        </w:rPr>
      </w:pPr>
    </w:p>
    <w:p w:rsidR="006A31AE" w:rsidRPr="006A31AE" w:rsidRDefault="006A31AE" w:rsidP="006A31AE">
      <w:pPr>
        <w:shd w:val="clear" w:color="auto" w:fill="FFFFFF"/>
        <w:spacing w:after="0" w:line="276" w:lineRule="auto"/>
        <w:textAlignment w:val="baseline"/>
        <w:outlineLvl w:val="0"/>
        <w:rPr>
          <w:rFonts w:ascii="Arial" w:eastAsia="Times New Roman" w:hAnsi="Arial" w:cs="Arial"/>
          <w:bCs/>
          <w:sz w:val="24"/>
          <w:szCs w:val="24"/>
          <w:lang w:eastAsia="en-GB"/>
        </w:rPr>
      </w:pPr>
      <w:r w:rsidRPr="006A31AE">
        <w:rPr>
          <w:rFonts w:ascii="Arial" w:eastAsia="Times New Roman" w:hAnsi="Arial" w:cs="Arial"/>
          <w:bCs/>
          <w:sz w:val="24"/>
          <w:szCs w:val="24"/>
          <w:lang w:eastAsia="en-GB"/>
        </w:rPr>
        <w:t>Using median monthly private rental data from the VOA and median gross monthly salary for 2017 from the ONS, it is possible to calculate the private rent over the gross monthly salary. Figure 7 shows that although the median monthly private rent is 39% of the median gross monthly salary in Croydon, this is still far lower than for most of the other London boroughs.</w:t>
      </w:r>
    </w:p>
    <w:p w:rsidR="006A31AE" w:rsidRPr="00FC32DA" w:rsidRDefault="006A31AE" w:rsidP="006A31AE">
      <w:pPr>
        <w:shd w:val="clear" w:color="auto" w:fill="FFFFFF"/>
        <w:spacing w:after="0" w:line="276" w:lineRule="auto"/>
        <w:textAlignment w:val="baseline"/>
        <w:outlineLvl w:val="0"/>
        <w:rPr>
          <w:rFonts w:ascii="Arial" w:eastAsia="Times New Roman" w:hAnsi="Arial" w:cs="Arial"/>
          <w:bCs/>
          <w:sz w:val="24"/>
          <w:szCs w:val="24"/>
          <w:lang w:eastAsia="en-GB"/>
        </w:rPr>
      </w:pPr>
    </w:p>
    <w:p w:rsidR="006A31AE" w:rsidRPr="006A31AE" w:rsidRDefault="006A31AE" w:rsidP="006A31AE">
      <w:pPr>
        <w:shd w:val="clear" w:color="auto" w:fill="FFFFFF"/>
        <w:spacing w:after="240" w:line="276" w:lineRule="auto"/>
        <w:textAlignment w:val="baseline"/>
        <w:outlineLvl w:val="0"/>
        <w:rPr>
          <w:rFonts w:ascii="Arial" w:eastAsia="Times New Roman" w:hAnsi="Arial" w:cs="Arial"/>
          <w:bCs/>
          <w:sz w:val="24"/>
          <w:szCs w:val="24"/>
          <w:u w:val="single"/>
          <w:lang w:eastAsia="en-GB"/>
        </w:rPr>
      </w:pPr>
      <w:r w:rsidRPr="006A31AE">
        <w:rPr>
          <w:rFonts w:ascii="Arial" w:eastAsia="Times New Roman" w:hAnsi="Arial" w:cs="Arial"/>
          <w:bCs/>
          <w:sz w:val="24"/>
          <w:szCs w:val="24"/>
          <w:u w:val="single"/>
          <w:lang w:eastAsia="en-GB"/>
        </w:rPr>
        <w:t>Figure 7: Median monthly private rent as a percentage of the median gross monthly salary 2017</w:t>
      </w:r>
    </w:p>
    <w:p w:rsidR="006A31AE" w:rsidRDefault="006A31AE" w:rsidP="00600C44">
      <w:pPr>
        <w:shd w:val="clear" w:color="auto" w:fill="FFFFFF"/>
        <w:spacing w:after="0" w:line="240" w:lineRule="auto"/>
        <w:textAlignment w:val="baseline"/>
        <w:outlineLvl w:val="0"/>
        <w:rPr>
          <w:rFonts w:ascii="Arial" w:eastAsia="Times New Roman" w:hAnsi="Arial" w:cs="Arial"/>
          <w:b/>
          <w:bCs/>
          <w:noProof/>
          <w:sz w:val="28"/>
          <w:szCs w:val="24"/>
          <w:lang w:eastAsia="en-GB"/>
        </w:rPr>
      </w:pPr>
      <w:r w:rsidRPr="006A31AE">
        <w:rPr>
          <w:rFonts w:ascii="Arial" w:eastAsia="Times New Roman" w:hAnsi="Arial" w:cs="Arial"/>
          <w:b/>
          <w:bCs/>
          <w:noProof/>
          <w:sz w:val="28"/>
          <w:szCs w:val="24"/>
          <w:lang w:eastAsia="en-GB"/>
        </w:rPr>
        <w:t xml:space="preserve"> </w:t>
      </w:r>
      <w:r w:rsidRPr="006A31AE">
        <w:rPr>
          <w:rFonts w:ascii="Arial" w:eastAsia="Times New Roman" w:hAnsi="Arial" w:cs="Arial"/>
          <w:b/>
          <w:bCs/>
          <w:noProof/>
          <w:sz w:val="28"/>
          <w:szCs w:val="24"/>
          <w:lang w:eastAsia="en-GB"/>
        </w:rPr>
        <w:drawing>
          <wp:inline distT="0" distB="0" distL="0" distR="0" wp14:anchorId="5E70E5C0" wp14:editId="2C2AF023">
            <wp:extent cx="3860800" cy="2367280"/>
            <wp:effectExtent l="0" t="0" r="6350" b="13970"/>
            <wp:docPr id="1053" name="Chart 105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6A31AE" w:rsidRDefault="006A31AE" w:rsidP="00600C44">
      <w:pPr>
        <w:spacing w:after="0" w:line="240" w:lineRule="auto"/>
        <w:rPr>
          <w:rFonts w:ascii="Arial" w:eastAsia="Calibri" w:hAnsi="Arial" w:cs="Arial"/>
          <w:sz w:val="20"/>
          <w:szCs w:val="24"/>
        </w:rPr>
      </w:pPr>
      <w:r w:rsidRPr="006A31AE">
        <w:rPr>
          <w:rFonts w:ascii="Arial" w:eastAsia="Calibri" w:hAnsi="Arial" w:cs="Arial"/>
          <w:sz w:val="20"/>
          <w:szCs w:val="24"/>
        </w:rPr>
        <w:t>Source: Valuation Office Agency and ONS, ASHE.</w:t>
      </w:r>
    </w:p>
    <w:p w:rsidR="00E1567D" w:rsidRDefault="00E1567D" w:rsidP="00600C44">
      <w:pPr>
        <w:spacing w:after="0" w:line="240" w:lineRule="auto"/>
        <w:rPr>
          <w:rFonts w:ascii="Arial" w:eastAsia="Calibri" w:hAnsi="Arial" w:cs="Arial"/>
          <w:sz w:val="20"/>
          <w:szCs w:val="24"/>
        </w:rPr>
      </w:pPr>
    </w:p>
    <w:p w:rsidR="00E1567D" w:rsidRDefault="00E1567D" w:rsidP="00600C44">
      <w:pPr>
        <w:spacing w:after="0" w:line="240" w:lineRule="auto"/>
        <w:rPr>
          <w:rFonts w:ascii="Arial" w:eastAsia="Calibri" w:hAnsi="Arial" w:cs="Arial"/>
          <w:sz w:val="20"/>
          <w:szCs w:val="24"/>
        </w:rPr>
      </w:pPr>
    </w:p>
    <w:p w:rsidR="00E1567D" w:rsidRDefault="00E1567D" w:rsidP="00600C44">
      <w:pPr>
        <w:spacing w:after="0" w:line="240" w:lineRule="auto"/>
        <w:rPr>
          <w:rFonts w:ascii="Arial" w:eastAsia="Calibri" w:hAnsi="Arial" w:cs="Arial"/>
          <w:sz w:val="20"/>
          <w:szCs w:val="24"/>
        </w:rPr>
      </w:pPr>
    </w:p>
    <w:p w:rsidR="00E1567D" w:rsidRPr="006A31AE" w:rsidRDefault="00E1567D" w:rsidP="00600C44">
      <w:pPr>
        <w:spacing w:after="0" w:line="240" w:lineRule="auto"/>
        <w:rPr>
          <w:rFonts w:ascii="Arial" w:eastAsia="Calibri" w:hAnsi="Arial" w:cs="Arial"/>
          <w:sz w:val="20"/>
          <w:szCs w:val="24"/>
        </w:rPr>
      </w:pPr>
    </w:p>
    <w:p w:rsidR="006A31AE" w:rsidRPr="00CB6E0A" w:rsidRDefault="006A31AE" w:rsidP="006A31AE">
      <w:pPr>
        <w:spacing w:after="0" w:line="276" w:lineRule="auto"/>
        <w:outlineLvl w:val="0"/>
        <w:rPr>
          <w:rFonts w:ascii="Arial" w:eastAsia="Times New Roman" w:hAnsi="Arial" w:cs="Arial"/>
          <w:b/>
          <w:bCs/>
          <w:sz w:val="20"/>
          <w:szCs w:val="20"/>
          <w:lang w:eastAsia="en-GB"/>
        </w:rPr>
      </w:pPr>
      <w:bookmarkStart w:id="17" w:name="_Availability_of_housing"/>
      <w:bookmarkEnd w:id="17"/>
    </w:p>
    <w:p w:rsidR="006A31AE" w:rsidRPr="006A31AE" w:rsidRDefault="006A31AE" w:rsidP="006A31AE">
      <w:pPr>
        <w:spacing w:after="0" w:line="276"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Availability of housing</w:t>
      </w:r>
    </w:p>
    <w:p w:rsidR="006A31AE" w:rsidRPr="006A31AE" w:rsidRDefault="006A31AE" w:rsidP="006A31AE">
      <w:pPr>
        <w:spacing w:after="0" w:line="276" w:lineRule="auto"/>
        <w:outlineLvl w:val="0"/>
        <w:rPr>
          <w:rFonts w:ascii="Arial" w:eastAsia="Times New Roman" w:hAnsi="Arial" w:cs="Arial"/>
          <w:b/>
          <w:bCs/>
          <w:color w:val="701471"/>
          <w:sz w:val="28"/>
          <w:szCs w:val="24"/>
          <w:lang w:eastAsia="en-GB"/>
        </w:rPr>
      </w:pPr>
    </w:p>
    <w:p w:rsidR="006A31AE" w:rsidRPr="00CB6E0A" w:rsidRDefault="006A31AE" w:rsidP="006A31AE">
      <w:pPr>
        <w:spacing w:after="200" w:line="276" w:lineRule="auto"/>
        <w:rPr>
          <w:rFonts w:ascii="Arial" w:eastAsia="Calibri" w:hAnsi="Arial" w:cs="Arial"/>
          <w:sz w:val="24"/>
          <w:szCs w:val="24"/>
        </w:rPr>
      </w:pPr>
      <w:r w:rsidRPr="00CB6E0A">
        <w:rPr>
          <w:rFonts w:ascii="Arial" w:eastAsia="Calibri" w:hAnsi="Arial" w:cs="Arial"/>
          <w:sz w:val="24"/>
          <w:szCs w:val="24"/>
        </w:rPr>
        <w:t>The number of long-term vacant dwellings in Croydon in October 2016 was 1,216</w:t>
      </w:r>
      <w:r w:rsidRPr="00CB6E0A">
        <w:rPr>
          <w:rFonts w:ascii="Arial" w:eastAsia="Calibri" w:hAnsi="Arial" w:cs="Arial"/>
          <w:sz w:val="24"/>
          <w:szCs w:val="24"/>
          <w:vertAlign w:val="superscript"/>
        </w:rPr>
        <w:footnoteReference w:id="6"/>
      </w:r>
      <w:r w:rsidRPr="00CB6E0A">
        <w:rPr>
          <w:rFonts w:ascii="Arial" w:eastAsia="Calibri" w:hAnsi="Arial" w:cs="Arial"/>
          <w:sz w:val="24"/>
          <w:szCs w:val="24"/>
        </w:rPr>
        <w:t>. Compared to the 33 London borough, Croydon had the 2</w:t>
      </w:r>
      <w:r w:rsidRPr="00CB6E0A">
        <w:rPr>
          <w:rFonts w:ascii="Arial" w:eastAsia="Calibri" w:hAnsi="Arial" w:cs="Arial"/>
          <w:sz w:val="24"/>
          <w:szCs w:val="24"/>
          <w:vertAlign w:val="superscript"/>
        </w:rPr>
        <w:t>nd</w:t>
      </w:r>
      <w:r w:rsidRPr="00CB6E0A">
        <w:rPr>
          <w:rFonts w:ascii="Arial" w:eastAsia="Calibri" w:hAnsi="Arial" w:cs="Arial"/>
          <w:sz w:val="24"/>
          <w:szCs w:val="24"/>
        </w:rPr>
        <w:t xml:space="preserve"> highest number of long-term vacant dwellings in 2016 behind Kensington &amp; Chelsea.  However, this actually only represents less than 0.8% of the total number of dwellings in the borough. Looking at the approximate proportion of empty dwellings in each London borough, Croydon has the 5</w:t>
      </w:r>
      <w:r w:rsidRPr="00CB6E0A">
        <w:rPr>
          <w:rFonts w:ascii="Arial" w:eastAsia="Calibri" w:hAnsi="Arial" w:cs="Arial"/>
          <w:sz w:val="24"/>
          <w:szCs w:val="24"/>
          <w:vertAlign w:val="superscript"/>
        </w:rPr>
        <w:t>th</w:t>
      </w:r>
      <w:r w:rsidRPr="00CB6E0A">
        <w:rPr>
          <w:rFonts w:ascii="Arial" w:eastAsia="Calibri" w:hAnsi="Arial" w:cs="Arial"/>
          <w:sz w:val="24"/>
          <w:szCs w:val="24"/>
        </w:rPr>
        <w:t xml:space="preserve"> highest rate.</w:t>
      </w:r>
    </w:p>
    <w:p w:rsidR="006A31AE" w:rsidRPr="00CB6E0A" w:rsidRDefault="006A31AE" w:rsidP="006A31AE">
      <w:pPr>
        <w:spacing w:after="0" w:line="276" w:lineRule="auto"/>
        <w:rPr>
          <w:rFonts w:ascii="Arial" w:eastAsia="Times New Roman" w:hAnsi="Arial" w:cs="Arial"/>
          <w:sz w:val="24"/>
          <w:szCs w:val="24"/>
          <w:lang w:eastAsia="en-GB"/>
        </w:rPr>
      </w:pPr>
      <w:r w:rsidRPr="00CB6E0A">
        <w:rPr>
          <w:rFonts w:ascii="Arial" w:eastAsia="Calibri" w:hAnsi="Arial" w:cs="Arial"/>
          <w:sz w:val="24"/>
          <w:szCs w:val="24"/>
        </w:rPr>
        <w:t>Croydon’s local housing market assessment</w:t>
      </w:r>
      <w:r w:rsidRPr="00CB6E0A">
        <w:rPr>
          <w:rFonts w:ascii="Arial" w:eastAsia="Calibri" w:hAnsi="Arial" w:cs="Arial"/>
          <w:sz w:val="24"/>
          <w:szCs w:val="24"/>
          <w:vertAlign w:val="superscript"/>
        </w:rPr>
        <w:footnoteReference w:id="7"/>
      </w:r>
      <w:r w:rsidRPr="00CB6E0A">
        <w:rPr>
          <w:rFonts w:ascii="Arial" w:eastAsia="Calibri" w:hAnsi="Arial" w:cs="Arial"/>
          <w:sz w:val="24"/>
          <w:szCs w:val="24"/>
        </w:rPr>
        <w:t xml:space="preserve"> (LHMA) has estimated that 22% of all households in Croydon are unsuitably housed, mostly in the north of the borough.   For 2010 to 2031, the LHMA is estimating that Croydon will require an extra 27,000 homes made up of 18,000 from Market housing, 1,700 from intermediate housing and 7,300 from affordable housing.</w:t>
      </w:r>
    </w:p>
    <w:p w:rsidR="006A31AE" w:rsidRPr="00CB6E0A" w:rsidRDefault="006A31AE" w:rsidP="00E1567D">
      <w:pPr>
        <w:spacing w:after="0" w:line="240" w:lineRule="auto"/>
        <w:rPr>
          <w:rFonts w:ascii="Arial" w:eastAsia="Calibri" w:hAnsi="Arial" w:cs="Arial"/>
          <w:sz w:val="24"/>
          <w:szCs w:val="24"/>
        </w:rPr>
      </w:pPr>
    </w:p>
    <w:p w:rsidR="00D648CA" w:rsidRDefault="00D648CA" w:rsidP="00264977">
      <w:pPr>
        <w:spacing w:after="0" w:line="240" w:lineRule="auto"/>
        <w:rPr>
          <w:rFonts w:ascii="Arial" w:eastAsia="Calibri" w:hAnsi="Arial" w:cs="Arial"/>
          <w:sz w:val="24"/>
          <w:szCs w:val="24"/>
        </w:rPr>
      </w:pPr>
    </w:p>
    <w:p w:rsidR="00D648CA" w:rsidRDefault="00D648CA" w:rsidP="00264977">
      <w:pPr>
        <w:spacing w:after="0" w:line="240" w:lineRule="auto"/>
        <w:rPr>
          <w:rFonts w:ascii="Arial" w:eastAsia="Calibri" w:hAnsi="Arial" w:cs="Arial"/>
          <w:sz w:val="24"/>
          <w:szCs w:val="24"/>
        </w:rPr>
      </w:pPr>
    </w:p>
    <w:p w:rsidR="00596A1A" w:rsidRDefault="00596A1A" w:rsidP="00264977">
      <w:pPr>
        <w:spacing w:after="0" w:line="240" w:lineRule="auto"/>
        <w:rPr>
          <w:rFonts w:ascii="Arial" w:eastAsia="Calibri" w:hAnsi="Arial" w:cs="Arial"/>
          <w:sz w:val="24"/>
          <w:szCs w:val="24"/>
        </w:rPr>
      </w:pPr>
    </w:p>
    <w:p w:rsidR="00596A1A" w:rsidRDefault="00596A1A" w:rsidP="00264977">
      <w:pPr>
        <w:spacing w:after="0" w:line="240" w:lineRule="auto"/>
        <w:rPr>
          <w:rFonts w:ascii="Arial" w:eastAsia="Calibri" w:hAnsi="Arial" w:cs="Arial"/>
          <w:sz w:val="24"/>
          <w:szCs w:val="24"/>
        </w:rPr>
      </w:pPr>
    </w:p>
    <w:p w:rsidR="006A31AE" w:rsidRPr="00CB6E0A" w:rsidRDefault="006A31AE" w:rsidP="00264977">
      <w:pPr>
        <w:spacing w:after="0" w:line="240" w:lineRule="auto"/>
        <w:rPr>
          <w:rFonts w:ascii="Arial" w:eastAsia="Calibri" w:hAnsi="Arial" w:cs="Arial"/>
          <w:sz w:val="24"/>
          <w:szCs w:val="24"/>
        </w:rPr>
      </w:pPr>
      <w:r w:rsidRPr="00CB6E0A">
        <w:rPr>
          <w:rFonts w:ascii="Arial" w:eastAsia="Calibri" w:hAnsi="Arial" w:cs="Arial"/>
          <w:sz w:val="24"/>
          <w:szCs w:val="24"/>
        </w:rPr>
        <w:t>Croydon had the second highest num</w:t>
      </w:r>
      <w:r w:rsidR="00CB6E0A" w:rsidRPr="00CB6E0A">
        <w:rPr>
          <w:rFonts w:ascii="Arial" w:eastAsia="Calibri" w:hAnsi="Arial" w:cs="Arial"/>
          <w:sz w:val="24"/>
          <w:szCs w:val="24"/>
        </w:rPr>
        <w:t xml:space="preserve">ber of net additional dwellings, (2,835) </w:t>
      </w:r>
      <w:r w:rsidRPr="00CB6E0A">
        <w:rPr>
          <w:rFonts w:ascii="Arial" w:eastAsia="Calibri" w:hAnsi="Arial" w:cs="Arial"/>
          <w:sz w:val="24"/>
          <w:szCs w:val="24"/>
        </w:rPr>
        <w:t>in 2016/</w:t>
      </w:r>
      <w:r w:rsidR="00CB6E0A" w:rsidRPr="00CB6E0A">
        <w:rPr>
          <w:rFonts w:ascii="Arial" w:eastAsia="Calibri" w:hAnsi="Arial" w:cs="Arial"/>
          <w:sz w:val="24"/>
          <w:szCs w:val="24"/>
        </w:rPr>
        <w:t>20</w:t>
      </w:r>
      <w:r w:rsidRPr="00CB6E0A">
        <w:rPr>
          <w:rFonts w:ascii="Arial" w:eastAsia="Calibri" w:hAnsi="Arial" w:cs="Arial"/>
          <w:sz w:val="24"/>
          <w:szCs w:val="24"/>
        </w:rPr>
        <w:t>17 out of all the London</w:t>
      </w:r>
      <w:r w:rsidR="00D648CA">
        <w:rPr>
          <w:rFonts w:ascii="Arial" w:eastAsia="Calibri" w:hAnsi="Arial" w:cs="Arial"/>
          <w:sz w:val="24"/>
          <w:szCs w:val="24"/>
        </w:rPr>
        <w:t xml:space="preserve"> </w:t>
      </w:r>
      <w:r w:rsidRPr="00CB6E0A">
        <w:rPr>
          <w:rFonts w:ascii="Arial" w:eastAsia="Calibri" w:hAnsi="Arial" w:cs="Arial"/>
          <w:sz w:val="24"/>
          <w:szCs w:val="24"/>
        </w:rPr>
        <w:t xml:space="preserve">boroughs, behind </w:t>
      </w:r>
      <w:r w:rsidR="00CB6E0A" w:rsidRPr="00CB6E0A">
        <w:rPr>
          <w:rFonts w:ascii="Arial" w:eastAsia="Calibri" w:hAnsi="Arial" w:cs="Arial"/>
          <w:sz w:val="24"/>
          <w:szCs w:val="24"/>
        </w:rPr>
        <w:t xml:space="preserve">only </w:t>
      </w:r>
      <w:r w:rsidRPr="00CB6E0A">
        <w:rPr>
          <w:rFonts w:ascii="Arial" w:eastAsia="Calibri" w:hAnsi="Arial" w:cs="Arial"/>
          <w:sz w:val="24"/>
          <w:szCs w:val="24"/>
        </w:rPr>
        <w:t>Tower Hamlets</w:t>
      </w:r>
      <w:r w:rsidR="00CB6E0A" w:rsidRPr="00CB6E0A">
        <w:rPr>
          <w:rFonts w:ascii="Arial" w:eastAsia="Calibri" w:hAnsi="Arial" w:cs="Arial"/>
          <w:sz w:val="24"/>
          <w:szCs w:val="24"/>
        </w:rPr>
        <w:t xml:space="preserve"> (4,827). There have</w:t>
      </w:r>
      <w:r w:rsidR="00335B9E">
        <w:rPr>
          <w:rFonts w:ascii="Arial" w:eastAsia="Calibri" w:hAnsi="Arial" w:cs="Arial"/>
          <w:sz w:val="24"/>
          <w:szCs w:val="24"/>
        </w:rPr>
        <w:t xml:space="preserve"> </w:t>
      </w:r>
      <w:r w:rsidR="00CB6E0A" w:rsidRPr="00CB6E0A">
        <w:rPr>
          <w:rFonts w:ascii="Arial" w:eastAsia="Calibri" w:hAnsi="Arial" w:cs="Arial"/>
          <w:sz w:val="24"/>
          <w:szCs w:val="24"/>
        </w:rPr>
        <w:t xml:space="preserve">been an additional 2,128 </w:t>
      </w:r>
      <w:r w:rsidRPr="00CB6E0A">
        <w:rPr>
          <w:rFonts w:ascii="Arial" w:eastAsia="Calibri" w:hAnsi="Arial" w:cs="Arial"/>
          <w:sz w:val="24"/>
          <w:szCs w:val="24"/>
        </w:rPr>
        <w:t>dwellings created</w:t>
      </w:r>
      <w:r w:rsidR="00CB6E0A" w:rsidRPr="00CB6E0A">
        <w:rPr>
          <w:rFonts w:ascii="Arial" w:eastAsia="Calibri" w:hAnsi="Arial" w:cs="Arial"/>
          <w:sz w:val="24"/>
          <w:szCs w:val="24"/>
        </w:rPr>
        <w:t xml:space="preserve"> in Croydon</w:t>
      </w:r>
      <w:r w:rsidR="007B0710">
        <w:rPr>
          <w:rFonts w:ascii="Arial" w:eastAsia="Calibri" w:hAnsi="Arial" w:cs="Arial"/>
          <w:sz w:val="24"/>
          <w:szCs w:val="24"/>
        </w:rPr>
        <w:t xml:space="preserve"> </w:t>
      </w:r>
      <w:r w:rsidR="00CB6E0A" w:rsidRPr="00CB6E0A">
        <w:rPr>
          <w:rFonts w:ascii="Arial" w:eastAsia="Calibri" w:hAnsi="Arial" w:cs="Arial"/>
          <w:sz w:val="24"/>
          <w:szCs w:val="24"/>
        </w:rPr>
        <w:t>since 2011/2012</w:t>
      </w:r>
      <w:r w:rsidRPr="00CB6E0A">
        <w:rPr>
          <w:rFonts w:ascii="Arial" w:eastAsia="Calibri" w:hAnsi="Arial" w:cs="Arial"/>
          <w:sz w:val="24"/>
          <w:szCs w:val="24"/>
        </w:rPr>
        <w:t>. These</w:t>
      </w:r>
      <w:r w:rsidR="00CB6E0A" w:rsidRPr="00CB6E0A">
        <w:rPr>
          <w:rFonts w:ascii="Arial" w:eastAsia="Calibri" w:hAnsi="Arial" w:cs="Arial"/>
          <w:sz w:val="24"/>
          <w:szCs w:val="24"/>
        </w:rPr>
        <w:t xml:space="preserve"> have included </w:t>
      </w:r>
      <w:r w:rsidR="007B0710">
        <w:rPr>
          <w:rFonts w:ascii="Arial" w:eastAsia="Calibri" w:hAnsi="Arial" w:cs="Arial"/>
          <w:sz w:val="24"/>
          <w:szCs w:val="24"/>
        </w:rPr>
        <w:t>new builds,</w:t>
      </w:r>
      <w:r w:rsidR="00335B9E">
        <w:rPr>
          <w:rFonts w:ascii="Arial" w:eastAsia="Calibri" w:hAnsi="Arial" w:cs="Arial"/>
          <w:sz w:val="24"/>
          <w:szCs w:val="24"/>
        </w:rPr>
        <w:t xml:space="preserve"> </w:t>
      </w:r>
      <w:r w:rsidR="007B0710">
        <w:rPr>
          <w:rFonts w:ascii="Arial" w:eastAsia="Calibri" w:hAnsi="Arial" w:cs="Arial"/>
          <w:sz w:val="24"/>
          <w:szCs w:val="24"/>
        </w:rPr>
        <w:t xml:space="preserve">conversions and </w:t>
      </w:r>
      <w:r w:rsidRPr="00CB6E0A">
        <w:rPr>
          <w:rFonts w:ascii="Arial" w:eastAsia="Calibri" w:hAnsi="Arial" w:cs="Arial"/>
          <w:sz w:val="24"/>
          <w:szCs w:val="24"/>
        </w:rPr>
        <w:t>changes of use.</w:t>
      </w:r>
      <w:r w:rsidRPr="00CB6E0A">
        <w:rPr>
          <w:rFonts w:ascii="Arial" w:eastAsia="Calibri" w:hAnsi="Arial" w:cs="Arial"/>
          <w:sz w:val="24"/>
          <w:szCs w:val="24"/>
          <w:vertAlign w:val="superscript"/>
        </w:rPr>
        <w:footnoteReference w:id="8"/>
      </w:r>
      <w:r w:rsidRPr="00CB6E0A">
        <w:rPr>
          <w:rFonts w:ascii="Arial" w:eastAsia="Calibri" w:hAnsi="Arial" w:cs="Arial"/>
          <w:sz w:val="24"/>
          <w:szCs w:val="24"/>
        </w:rPr>
        <w:t xml:space="preserve">  This raised the total number of dwellings in the borough to 154,560. Croydon continues to have the largest number of dwellings of any of the London boroughs.</w:t>
      </w:r>
    </w:p>
    <w:p w:rsidR="006A31AE" w:rsidRPr="00CB6E0A" w:rsidRDefault="006A31AE" w:rsidP="006A31AE">
      <w:pPr>
        <w:spacing w:after="0" w:line="276" w:lineRule="auto"/>
        <w:outlineLvl w:val="0"/>
        <w:rPr>
          <w:rFonts w:ascii="Arial" w:eastAsia="Times New Roman" w:hAnsi="Arial" w:cs="Arial"/>
          <w:b/>
          <w:bCs/>
          <w:sz w:val="28"/>
          <w:szCs w:val="24"/>
          <w:lang w:eastAsia="en-GB"/>
        </w:rPr>
      </w:pPr>
      <w:bookmarkStart w:id="18" w:name="_Homelessness"/>
      <w:bookmarkEnd w:id="18"/>
    </w:p>
    <w:p w:rsidR="006A31AE" w:rsidRDefault="006A31AE" w:rsidP="006A31AE">
      <w:pPr>
        <w:spacing w:after="0" w:line="276" w:lineRule="auto"/>
        <w:outlineLvl w:val="0"/>
        <w:rPr>
          <w:rFonts w:ascii="Arial" w:eastAsia="Times New Roman" w:hAnsi="Arial" w:cs="Arial"/>
          <w:b/>
          <w:bCs/>
          <w:sz w:val="28"/>
          <w:szCs w:val="24"/>
          <w:lang w:eastAsia="en-GB"/>
        </w:rPr>
      </w:pPr>
    </w:p>
    <w:p w:rsidR="00D648CA" w:rsidRPr="00CB6E0A" w:rsidRDefault="00D648CA" w:rsidP="006A31AE">
      <w:pPr>
        <w:spacing w:after="0" w:line="276" w:lineRule="auto"/>
        <w:outlineLvl w:val="0"/>
        <w:rPr>
          <w:rFonts w:ascii="Arial" w:eastAsia="Times New Roman" w:hAnsi="Arial" w:cs="Arial"/>
          <w:b/>
          <w:bCs/>
          <w:sz w:val="28"/>
          <w:szCs w:val="24"/>
          <w:lang w:eastAsia="en-GB"/>
        </w:rPr>
      </w:pPr>
    </w:p>
    <w:p w:rsidR="006A31AE" w:rsidRPr="00E169F9" w:rsidRDefault="006A31AE" w:rsidP="006A31AE">
      <w:pPr>
        <w:spacing w:after="0" w:line="276" w:lineRule="auto"/>
        <w:outlineLvl w:val="0"/>
        <w:rPr>
          <w:rFonts w:ascii="Arial" w:eastAsia="Times New Roman" w:hAnsi="Arial" w:cs="Arial"/>
          <w:b/>
          <w:bCs/>
          <w:color w:val="701471"/>
          <w:sz w:val="28"/>
          <w:szCs w:val="24"/>
          <w:lang w:eastAsia="en-GB"/>
        </w:rPr>
      </w:pPr>
      <w:r w:rsidRPr="00E169F9">
        <w:rPr>
          <w:rFonts w:ascii="Arial" w:eastAsia="Times New Roman" w:hAnsi="Arial" w:cs="Arial"/>
          <w:b/>
          <w:bCs/>
          <w:color w:val="701471"/>
          <w:sz w:val="28"/>
          <w:szCs w:val="24"/>
          <w:lang w:eastAsia="en-GB"/>
        </w:rPr>
        <w:t>Homelessness</w:t>
      </w:r>
    </w:p>
    <w:p w:rsidR="006A31AE" w:rsidRPr="00CB6E0A" w:rsidRDefault="006A31AE" w:rsidP="007B0710">
      <w:pPr>
        <w:spacing w:after="0" w:line="240" w:lineRule="auto"/>
        <w:textAlignment w:val="baseline"/>
        <w:rPr>
          <w:rFonts w:ascii="Arial" w:eastAsia="Times New Roman" w:hAnsi="Arial" w:cs="Arial"/>
          <w:b/>
          <w:sz w:val="24"/>
          <w:szCs w:val="24"/>
        </w:rPr>
      </w:pPr>
    </w:p>
    <w:p w:rsidR="006A31AE" w:rsidRPr="00CB6E0A" w:rsidRDefault="006A31AE" w:rsidP="007B0710">
      <w:pPr>
        <w:autoSpaceDE w:val="0"/>
        <w:autoSpaceDN w:val="0"/>
        <w:adjustRightInd w:val="0"/>
        <w:spacing w:after="0" w:line="240" w:lineRule="auto"/>
        <w:ind w:right="-46"/>
        <w:outlineLvl w:val="2"/>
        <w:rPr>
          <w:rFonts w:ascii="Arial" w:eastAsia="Calibri" w:hAnsi="Arial" w:cs="Arial"/>
          <w:sz w:val="24"/>
          <w:szCs w:val="24"/>
        </w:rPr>
      </w:pPr>
      <w:r w:rsidRPr="00CB6E0A">
        <w:rPr>
          <w:rFonts w:ascii="Arial" w:eastAsia="Calibri" w:hAnsi="Arial" w:cs="Arial"/>
          <w:sz w:val="24"/>
          <w:szCs w:val="24"/>
        </w:rPr>
        <w:t xml:space="preserve">Due to limited, social housing in Croydon is only allocated to people with the most urgent housing need.  The Council has applied the Localism Act 2011 to fulfil its legal duties to homeless households by providing accommodation with private landlords in order to provide much needed accommodation for a constant housing demand. </w:t>
      </w:r>
    </w:p>
    <w:p w:rsidR="006A31AE" w:rsidRPr="00CB6E0A" w:rsidRDefault="006A31AE" w:rsidP="007B0710">
      <w:pPr>
        <w:autoSpaceDE w:val="0"/>
        <w:autoSpaceDN w:val="0"/>
        <w:adjustRightInd w:val="0"/>
        <w:spacing w:after="0" w:line="240" w:lineRule="auto"/>
        <w:ind w:right="-46"/>
        <w:outlineLvl w:val="2"/>
        <w:rPr>
          <w:rFonts w:ascii="Arial" w:eastAsia="Calibri" w:hAnsi="Arial" w:cs="Arial"/>
          <w:sz w:val="24"/>
          <w:szCs w:val="24"/>
        </w:rPr>
      </w:pPr>
    </w:p>
    <w:p w:rsidR="006A31AE" w:rsidRPr="00CB6E0A" w:rsidRDefault="006A31AE" w:rsidP="007B0710">
      <w:pPr>
        <w:autoSpaceDE w:val="0"/>
        <w:autoSpaceDN w:val="0"/>
        <w:adjustRightInd w:val="0"/>
        <w:spacing w:after="0" w:line="240" w:lineRule="auto"/>
        <w:rPr>
          <w:rFonts w:ascii="Arial" w:eastAsia="Calibri" w:hAnsi="Arial" w:cs="Arial"/>
          <w:sz w:val="24"/>
          <w:szCs w:val="24"/>
        </w:rPr>
      </w:pPr>
      <w:r w:rsidRPr="00CB6E0A">
        <w:rPr>
          <w:rFonts w:ascii="Arial" w:eastAsia="Calibri" w:hAnsi="Arial" w:cs="Arial"/>
          <w:sz w:val="24"/>
          <w:szCs w:val="24"/>
        </w:rPr>
        <w:t xml:space="preserve">The most common reason for homelessness is parental evictions, by exclusions by relatives and friends and relationship breakdowns. Croydon was the first London borough to achieve the government target of halving its use of temporary accommodation. </w:t>
      </w:r>
    </w:p>
    <w:p w:rsidR="00CB6E0A" w:rsidRDefault="00CB6E0A" w:rsidP="007B0710">
      <w:pPr>
        <w:autoSpaceDE w:val="0"/>
        <w:autoSpaceDN w:val="0"/>
        <w:adjustRightInd w:val="0"/>
        <w:spacing w:after="0" w:line="240" w:lineRule="auto"/>
        <w:rPr>
          <w:rFonts w:ascii="Arial" w:eastAsia="Calibri" w:hAnsi="Arial" w:cs="Arial"/>
          <w:sz w:val="24"/>
          <w:szCs w:val="24"/>
        </w:rPr>
      </w:pPr>
    </w:p>
    <w:p w:rsidR="00D648CA" w:rsidRDefault="00D648CA" w:rsidP="007B0710">
      <w:pPr>
        <w:autoSpaceDE w:val="0"/>
        <w:autoSpaceDN w:val="0"/>
        <w:adjustRightInd w:val="0"/>
        <w:spacing w:after="0" w:line="240" w:lineRule="auto"/>
        <w:rPr>
          <w:rFonts w:ascii="Arial" w:eastAsia="Calibri" w:hAnsi="Arial" w:cs="Arial"/>
          <w:sz w:val="24"/>
          <w:szCs w:val="24"/>
        </w:rPr>
      </w:pPr>
    </w:p>
    <w:p w:rsidR="00D648CA" w:rsidRDefault="00D648CA" w:rsidP="007B0710">
      <w:pPr>
        <w:autoSpaceDE w:val="0"/>
        <w:autoSpaceDN w:val="0"/>
        <w:adjustRightInd w:val="0"/>
        <w:spacing w:after="0" w:line="240" w:lineRule="auto"/>
        <w:rPr>
          <w:rFonts w:ascii="Arial" w:eastAsia="Calibri" w:hAnsi="Arial" w:cs="Arial"/>
          <w:sz w:val="24"/>
          <w:szCs w:val="24"/>
        </w:rPr>
      </w:pPr>
    </w:p>
    <w:p w:rsidR="00D648CA" w:rsidRDefault="00D648CA" w:rsidP="007B0710">
      <w:pPr>
        <w:autoSpaceDE w:val="0"/>
        <w:autoSpaceDN w:val="0"/>
        <w:adjustRightInd w:val="0"/>
        <w:spacing w:after="0" w:line="240" w:lineRule="auto"/>
        <w:rPr>
          <w:rFonts w:ascii="Arial" w:eastAsia="Calibri" w:hAnsi="Arial" w:cs="Arial"/>
          <w:sz w:val="24"/>
          <w:szCs w:val="24"/>
        </w:rPr>
      </w:pPr>
    </w:p>
    <w:p w:rsidR="006A31AE" w:rsidRPr="00CB6E0A" w:rsidRDefault="006A31AE" w:rsidP="007B0710">
      <w:pPr>
        <w:autoSpaceDE w:val="0"/>
        <w:autoSpaceDN w:val="0"/>
        <w:adjustRightInd w:val="0"/>
        <w:spacing w:after="0" w:line="240" w:lineRule="auto"/>
        <w:rPr>
          <w:rFonts w:ascii="Arial" w:eastAsia="Calibri" w:hAnsi="Arial" w:cs="Arial"/>
          <w:sz w:val="24"/>
          <w:szCs w:val="24"/>
        </w:rPr>
      </w:pPr>
      <w:r w:rsidRPr="00CB6E0A">
        <w:rPr>
          <w:rFonts w:ascii="Arial" w:eastAsia="Calibri" w:hAnsi="Arial" w:cs="Arial"/>
          <w:sz w:val="24"/>
          <w:szCs w:val="24"/>
        </w:rPr>
        <w:t>Over the years, by far the highest proportion of accepted homeless households in Croydon have been made up of lone parents with dependent children.</w:t>
      </w:r>
      <w:r w:rsidRPr="00CB6E0A">
        <w:rPr>
          <w:rFonts w:ascii="Arial" w:eastAsia="Calibri" w:hAnsi="Arial" w:cs="Arial"/>
          <w:sz w:val="24"/>
          <w:szCs w:val="24"/>
          <w:vertAlign w:val="superscript"/>
        </w:rPr>
        <w:footnoteReference w:id="9"/>
      </w:r>
    </w:p>
    <w:p w:rsidR="006A31AE" w:rsidRDefault="006A31AE" w:rsidP="007B0710">
      <w:pPr>
        <w:autoSpaceDE w:val="0"/>
        <w:autoSpaceDN w:val="0"/>
        <w:adjustRightInd w:val="0"/>
        <w:spacing w:after="0" w:line="240" w:lineRule="auto"/>
        <w:rPr>
          <w:rFonts w:ascii="Arial" w:eastAsia="Calibri" w:hAnsi="Arial" w:cs="Arial"/>
          <w:sz w:val="24"/>
          <w:szCs w:val="24"/>
        </w:rPr>
      </w:pPr>
    </w:p>
    <w:p w:rsidR="006A31AE" w:rsidRPr="00FC32DA" w:rsidRDefault="006A31AE" w:rsidP="007B0710">
      <w:pPr>
        <w:autoSpaceDE w:val="0"/>
        <w:autoSpaceDN w:val="0"/>
        <w:adjustRightInd w:val="0"/>
        <w:spacing w:after="0" w:line="240" w:lineRule="auto"/>
        <w:rPr>
          <w:rFonts w:ascii="Arial" w:eastAsia="Calibri" w:hAnsi="Arial" w:cs="Arial"/>
          <w:sz w:val="24"/>
          <w:szCs w:val="24"/>
        </w:rPr>
      </w:pPr>
      <w:r w:rsidRPr="00FC32DA">
        <w:rPr>
          <w:rFonts w:ascii="Arial" w:eastAsia="Calibri" w:hAnsi="Arial" w:cs="Arial"/>
          <w:sz w:val="24"/>
          <w:szCs w:val="24"/>
        </w:rPr>
        <w:t>There were 2,005 households in temporary accommodation as at the end of March 2018.  This reduction signifies the lowest number since 2012/2013.</w:t>
      </w:r>
    </w:p>
    <w:p w:rsidR="00335B9E" w:rsidRDefault="00335B9E" w:rsidP="007B0710">
      <w:pPr>
        <w:autoSpaceDE w:val="0"/>
        <w:autoSpaceDN w:val="0"/>
        <w:adjustRightInd w:val="0"/>
        <w:spacing w:after="0" w:line="240" w:lineRule="auto"/>
        <w:rPr>
          <w:rFonts w:ascii="Arial" w:eastAsia="Calibri" w:hAnsi="Arial" w:cs="Arial"/>
          <w:sz w:val="24"/>
          <w:szCs w:val="24"/>
        </w:rPr>
      </w:pPr>
    </w:p>
    <w:p w:rsidR="00335B9E" w:rsidRPr="00FC32DA" w:rsidRDefault="00335B9E" w:rsidP="007B0710">
      <w:pPr>
        <w:autoSpaceDE w:val="0"/>
        <w:autoSpaceDN w:val="0"/>
        <w:adjustRightInd w:val="0"/>
        <w:spacing w:after="0" w:line="240" w:lineRule="auto"/>
        <w:rPr>
          <w:rFonts w:ascii="Arial" w:eastAsia="Calibri" w:hAnsi="Arial" w:cs="Arial"/>
          <w:sz w:val="24"/>
          <w:szCs w:val="24"/>
        </w:rPr>
      </w:pPr>
    </w:p>
    <w:p w:rsidR="006A31AE" w:rsidRPr="006A31AE" w:rsidRDefault="006A31AE" w:rsidP="007B0710">
      <w:pPr>
        <w:autoSpaceDE w:val="0"/>
        <w:autoSpaceDN w:val="0"/>
        <w:adjustRightInd w:val="0"/>
        <w:spacing w:after="0" w:line="240" w:lineRule="auto"/>
        <w:rPr>
          <w:rFonts w:ascii="Arial" w:eastAsia="Calibri" w:hAnsi="Arial" w:cs="Arial"/>
          <w:sz w:val="24"/>
          <w:szCs w:val="24"/>
          <w:u w:val="single"/>
        </w:rPr>
      </w:pPr>
      <w:r w:rsidRPr="006A31AE">
        <w:rPr>
          <w:rFonts w:ascii="Arial" w:eastAsia="Calibri" w:hAnsi="Arial" w:cs="Arial"/>
          <w:sz w:val="24"/>
          <w:szCs w:val="24"/>
          <w:u w:val="single"/>
        </w:rPr>
        <w:t>Figure 8: Croydon Households in temporary accommodation</w:t>
      </w:r>
    </w:p>
    <w:p w:rsidR="006A31AE" w:rsidRPr="006A31AE" w:rsidRDefault="006A31AE" w:rsidP="007B0710">
      <w:pPr>
        <w:autoSpaceDE w:val="0"/>
        <w:autoSpaceDN w:val="0"/>
        <w:adjustRightInd w:val="0"/>
        <w:spacing w:after="0" w:line="240" w:lineRule="auto"/>
        <w:rPr>
          <w:rFonts w:ascii="Arial" w:eastAsia="Calibri" w:hAnsi="Arial" w:cs="Arial"/>
          <w:sz w:val="24"/>
          <w:szCs w:val="24"/>
        </w:rPr>
      </w:pPr>
      <w:r w:rsidRPr="006A31AE">
        <w:rPr>
          <w:rFonts w:ascii="Arial" w:eastAsia="Calibri" w:hAnsi="Arial" w:cs="Arial"/>
          <w:noProof/>
          <w:sz w:val="24"/>
          <w:szCs w:val="24"/>
          <w:lang w:eastAsia="en-GB"/>
        </w:rPr>
        <w:drawing>
          <wp:inline distT="0" distB="0" distL="0" distR="0" wp14:anchorId="064B2C16" wp14:editId="7743A083">
            <wp:extent cx="4358640" cy="2614930"/>
            <wp:effectExtent l="0" t="0" r="3810" b="1397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6A31AE" w:rsidRPr="00600C44" w:rsidRDefault="006A31AE" w:rsidP="007B0710">
      <w:pPr>
        <w:autoSpaceDE w:val="0"/>
        <w:autoSpaceDN w:val="0"/>
        <w:adjustRightInd w:val="0"/>
        <w:spacing w:after="0" w:line="240" w:lineRule="auto"/>
        <w:rPr>
          <w:rFonts w:ascii="Arial" w:eastAsia="Calibri" w:hAnsi="Arial" w:cs="Arial"/>
          <w:sz w:val="20"/>
          <w:szCs w:val="20"/>
        </w:rPr>
      </w:pPr>
      <w:r w:rsidRPr="00600C44">
        <w:rPr>
          <w:rFonts w:ascii="Arial" w:eastAsia="Calibri" w:hAnsi="Arial" w:cs="Arial"/>
          <w:sz w:val="20"/>
          <w:szCs w:val="20"/>
        </w:rPr>
        <w:t>Source : Homelessness Review and Strategy, 2018, Sect. 5.44</w:t>
      </w:r>
    </w:p>
    <w:p w:rsidR="006A31AE" w:rsidRDefault="006A31AE" w:rsidP="007B0710">
      <w:pPr>
        <w:autoSpaceDE w:val="0"/>
        <w:autoSpaceDN w:val="0"/>
        <w:adjustRightInd w:val="0"/>
        <w:spacing w:after="0" w:line="240" w:lineRule="auto"/>
        <w:rPr>
          <w:rFonts w:ascii="Arial" w:eastAsia="Calibri" w:hAnsi="Arial" w:cs="Arial"/>
          <w:sz w:val="24"/>
          <w:szCs w:val="24"/>
        </w:rPr>
      </w:pPr>
    </w:p>
    <w:p w:rsidR="00264977" w:rsidRDefault="00264977" w:rsidP="007B0710">
      <w:pPr>
        <w:autoSpaceDE w:val="0"/>
        <w:autoSpaceDN w:val="0"/>
        <w:adjustRightInd w:val="0"/>
        <w:spacing w:after="0" w:line="240" w:lineRule="auto"/>
        <w:rPr>
          <w:rFonts w:ascii="Arial" w:eastAsia="Calibri" w:hAnsi="Arial" w:cs="Arial"/>
          <w:sz w:val="24"/>
          <w:szCs w:val="24"/>
        </w:rPr>
      </w:pPr>
    </w:p>
    <w:p w:rsidR="00D648CA" w:rsidRDefault="00D648CA" w:rsidP="007B0710">
      <w:pPr>
        <w:autoSpaceDE w:val="0"/>
        <w:autoSpaceDN w:val="0"/>
        <w:adjustRightInd w:val="0"/>
        <w:spacing w:after="0" w:line="240" w:lineRule="auto"/>
        <w:rPr>
          <w:rFonts w:ascii="Arial" w:eastAsia="Calibri" w:hAnsi="Arial" w:cs="Arial"/>
          <w:sz w:val="24"/>
          <w:szCs w:val="24"/>
        </w:rPr>
      </w:pPr>
    </w:p>
    <w:p w:rsidR="00D648CA" w:rsidRDefault="00D648CA" w:rsidP="007B0710">
      <w:pPr>
        <w:autoSpaceDE w:val="0"/>
        <w:autoSpaceDN w:val="0"/>
        <w:adjustRightInd w:val="0"/>
        <w:spacing w:after="0" w:line="240" w:lineRule="auto"/>
        <w:rPr>
          <w:rFonts w:ascii="Arial" w:eastAsia="Calibri" w:hAnsi="Arial" w:cs="Arial"/>
          <w:sz w:val="24"/>
          <w:szCs w:val="24"/>
        </w:rPr>
      </w:pPr>
    </w:p>
    <w:p w:rsidR="006A31AE" w:rsidRPr="006A31AE" w:rsidRDefault="006A31AE" w:rsidP="006A31AE">
      <w:pPr>
        <w:spacing w:after="0" w:line="276" w:lineRule="auto"/>
        <w:rPr>
          <w:rFonts w:ascii="Arial" w:eastAsia="Times New Roman" w:hAnsi="Arial" w:cs="Arial"/>
          <w:sz w:val="24"/>
          <w:szCs w:val="24"/>
        </w:rPr>
      </w:pPr>
      <w:r w:rsidRPr="006A31AE">
        <w:rPr>
          <w:rFonts w:ascii="Arial" w:eastAsia="Times New Roman" w:hAnsi="Arial" w:cs="Arial"/>
          <w:sz w:val="24"/>
          <w:szCs w:val="24"/>
        </w:rPr>
        <w:t>In every age band, there is a disproportionately high percentage of homeless people from the Black community. Latest trends show that, of the households accepted as homeless in Croydon,  around half are made up of people from the Black community, around a quarter are from the White community with the remainder made up of residents from all the other communities.</w:t>
      </w:r>
    </w:p>
    <w:p w:rsidR="007B0710" w:rsidRDefault="007B0710" w:rsidP="006A31AE">
      <w:pPr>
        <w:spacing w:after="200" w:line="276" w:lineRule="auto"/>
        <w:rPr>
          <w:rFonts w:ascii="Arial" w:eastAsia="Times New Roman" w:hAnsi="Arial" w:cs="Arial"/>
          <w:sz w:val="24"/>
          <w:szCs w:val="24"/>
          <w:u w:val="single"/>
        </w:rPr>
      </w:pPr>
    </w:p>
    <w:p w:rsidR="006A31AE" w:rsidRPr="006A31AE" w:rsidRDefault="006A31AE" w:rsidP="006A31AE">
      <w:pPr>
        <w:spacing w:after="200" w:line="276" w:lineRule="auto"/>
        <w:rPr>
          <w:rFonts w:ascii="Arial" w:eastAsia="Times New Roman" w:hAnsi="Arial" w:cs="Arial"/>
          <w:sz w:val="24"/>
          <w:szCs w:val="24"/>
          <w:u w:val="single"/>
        </w:rPr>
      </w:pPr>
      <w:r w:rsidRPr="006A31AE">
        <w:rPr>
          <w:rFonts w:ascii="Arial" w:eastAsia="Times New Roman" w:hAnsi="Arial" w:cs="Arial"/>
          <w:sz w:val="24"/>
          <w:szCs w:val="24"/>
          <w:u w:val="single"/>
        </w:rPr>
        <w:t>Figure 9 – Percentage of Homeless households accepted in Croydon by Broad Ethnic Group</w:t>
      </w:r>
    </w:p>
    <w:p w:rsidR="006A31AE" w:rsidRPr="006A31AE" w:rsidRDefault="006A31AE" w:rsidP="006A31AE">
      <w:pPr>
        <w:spacing w:after="0" w:line="276" w:lineRule="auto"/>
        <w:rPr>
          <w:rFonts w:ascii="Arial" w:eastAsia="Times New Roman" w:hAnsi="Arial" w:cs="Arial"/>
          <w:noProof/>
          <w:sz w:val="20"/>
          <w:szCs w:val="20"/>
          <w:lang w:eastAsia="en-GB"/>
        </w:rPr>
      </w:pPr>
      <w:r w:rsidRPr="006A31AE">
        <w:rPr>
          <w:rFonts w:ascii="Arial" w:eastAsia="Calibri" w:hAnsi="Arial" w:cs="Arial"/>
          <w:noProof/>
          <w:sz w:val="24"/>
          <w:szCs w:val="24"/>
          <w:lang w:eastAsia="en-GB"/>
        </w:rPr>
        <w:drawing>
          <wp:inline distT="0" distB="0" distL="0" distR="0" wp14:anchorId="12EE2BEB" wp14:editId="518505FD">
            <wp:extent cx="4076700" cy="2628900"/>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6A31AE" w:rsidRPr="00600C44" w:rsidRDefault="006A31AE" w:rsidP="006A31AE">
      <w:pPr>
        <w:autoSpaceDE w:val="0"/>
        <w:autoSpaceDN w:val="0"/>
        <w:adjustRightInd w:val="0"/>
        <w:spacing w:after="0" w:line="276" w:lineRule="auto"/>
        <w:rPr>
          <w:rFonts w:ascii="Arial" w:eastAsia="Calibri" w:hAnsi="Arial" w:cs="Arial"/>
          <w:sz w:val="20"/>
          <w:szCs w:val="20"/>
        </w:rPr>
      </w:pPr>
      <w:r w:rsidRPr="00600C44">
        <w:rPr>
          <w:rFonts w:ascii="Arial" w:eastAsia="Calibri" w:hAnsi="Arial" w:cs="Arial"/>
          <w:sz w:val="20"/>
          <w:szCs w:val="20"/>
        </w:rPr>
        <w:t>Source : Homelessness Review and Strategy, 2018, Sect. 6.5</w:t>
      </w:r>
    </w:p>
    <w:p w:rsidR="006A31AE" w:rsidRDefault="006A31AE" w:rsidP="006A31AE">
      <w:pPr>
        <w:spacing w:after="0" w:line="276" w:lineRule="auto"/>
        <w:rPr>
          <w:rFonts w:ascii="Arial" w:eastAsia="Times New Roman" w:hAnsi="Arial" w:cs="Arial"/>
          <w:noProof/>
          <w:sz w:val="20"/>
          <w:szCs w:val="20"/>
          <w:lang w:eastAsia="en-GB"/>
        </w:rPr>
      </w:pPr>
    </w:p>
    <w:p w:rsidR="00264977" w:rsidRDefault="00264977" w:rsidP="006A31AE">
      <w:pPr>
        <w:spacing w:after="0" w:line="276" w:lineRule="auto"/>
        <w:rPr>
          <w:rFonts w:ascii="Arial" w:eastAsia="Times New Roman" w:hAnsi="Arial" w:cs="Arial"/>
          <w:noProof/>
          <w:sz w:val="20"/>
          <w:szCs w:val="20"/>
          <w:lang w:eastAsia="en-GB"/>
        </w:rPr>
      </w:pPr>
    </w:p>
    <w:p w:rsidR="00D648CA" w:rsidRDefault="00D648CA" w:rsidP="006A31AE">
      <w:pPr>
        <w:spacing w:after="0" w:line="276" w:lineRule="auto"/>
        <w:rPr>
          <w:rFonts w:ascii="Arial" w:eastAsia="Times New Roman" w:hAnsi="Arial" w:cs="Arial"/>
          <w:sz w:val="24"/>
          <w:szCs w:val="24"/>
        </w:rPr>
      </w:pPr>
    </w:p>
    <w:p w:rsidR="00D648CA" w:rsidRDefault="00D648CA" w:rsidP="006A31AE">
      <w:pPr>
        <w:spacing w:after="0" w:line="276" w:lineRule="auto"/>
        <w:rPr>
          <w:rFonts w:ascii="Arial" w:eastAsia="Times New Roman" w:hAnsi="Arial" w:cs="Arial"/>
          <w:sz w:val="24"/>
          <w:szCs w:val="24"/>
        </w:rPr>
      </w:pPr>
    </w:p>
    <w:p w:rsidR="006A31AE" w:rsidRPr="006A31AE" w:rsidRDefault="006A31AE" w:rsidP="006A31AE">
      <w:pPr>
        <w:spacing w:after="0" w:line="276" w:lineRule="auto"/>
        <w:rPr>
          <w:rFonts w:ascii="Arial" w:eastAsia="Times New Roman" w:hAnsi="Arial" w:cs="Arial"/>
          <w:sz w:val="24"/>
          <w:szCs w:val="24"/>
        </w:rPr>
      </w:pPr>
      <w:r w:rsidRPr="006A31AE">
        <w:rPr>
          <w:rFonts w:ascii="Arial" w:eastAsia="Times New Roman" w:hAnsi="Arial" w:cs="Arial"/>
          <w:sz w:val="24"/>
          <w:szCs w:val="24"/>
        </w:rPr>
        <w:t>Past trends show that around 1 in 5 residents who are accepted as homeless are in the 16-24 years age band.</w:t>
      </w:r>
      <w:r w:rsidR="00264977">
        <w:rPr>
          <w:rFonts w:ascii="Arial" w:eastAsia="Times New Roman" w:hAnsi="Arial" w:cs="Arial"/>
          <w:sz w:val="24"/>
          <w:szCs w:val="24"/>
        </w:rPr>
        <w:t xml:space="preserve"> </w:t>
      </w:r>
      <w:r w:rsidRPr="006A31AE">
        <w:rPr>
          <w:rFonts w:ascii="Arial" w:eastAsia="Times New Roman" w:hAnsi="Arial" w:cs="Arial"/>
          <w:sz w:val="24"/>
          <w:szCs w:val="24"/>
        </w:rPr>
        <w:t>The latest figures show that the majority of homeless people (58%) in Croydon are concentrated in the 25-44 years age group.  One in 5 (22%) are aged between 16 and 24 years and again one in 5 (20%) are aged 45-59 years.  There are very small proportions of people aged 60 years and over.</w:t>
      </w:r>
    </w:p>
    <w:p w:rsidR="00264977" w:rsidRPr="009049B1" w:rsidRDefault="00264977" w:rsidP="006A31AE">
      <w:pPr>
        <w:spacing w:after="0" w:line="276" w:lineRule="auto"/>
        <w:rPr>
          <w:rFonts w:ascii="Arial" w:eastAsia="Times New Roman" w:hAnsi="Arial" w:cs="Arial"/>
          <w:sz w:val="24"/>
          <w:szCs w:val="24"/>
          <w:u w:val="single"/>
        </w:rPr>
      </w:pPr>
    </w:p>
    <w:p w:rsidR="006A31AE" w:rsidRPr="009049B1" w:rsidRDefault="006A31AE" w:rsidP="006A31AE">
      <w:pPr>
        <w:spacing w:after="0" w:line="276" w:lineRule="auto"/>
        <w:jc w:val="both"/>
        <w:rPr>
          <w:rFonts w:ascii="Arial" w:eastAsia="Times New Roman" w:hAnsi="Arial" w:cs="Arial"/>
          <w:sz w:val="24"/>
          <w:szCs w:val="24"/>
          <w:u w:val="single"/>
        </w:rPr>
      </w:pPr>
      <w:r w:rsidRPr="009049B1">
        <w:rPr>
          <w:rFonts w:ascii="Arial" w:eastAsia="Times New Roman" w:hAnsi="Arial" w:cs="Arial"/>
          <w:sz w:val="24"/>
          <w:szCs w:val="24"/>
          <w:u w:val="single"/>
        </w:rPr>
        <w:t>Figure 10 - Number of homeless households accepted in Croydon by set age bands</w:t>
      </w:r>
    </w:p>
    <w:p w:rsidR="006A31AE" w:rsidRPr="009049B1" w:rsidRDefault="006A31AE" w:rsidP="006A31AE">
      <w:pPr>
        <w:spacing w:after="0" w:line="276" w:lineRule="auto"/>
        <w:rPr>
          <w:rFonts w:ascii="Arial" w:eastAsia="Times New Roman" w:hAnsi="Arial" w:cs="Arial"/>
          <w:sz w:val="24"/>
          <w:szCs w:val="24"/>
          <w:u w:val="single"/>
        </w:rPr>
      </w:pPr>
    </w:p>
    <w:p w:rsidR="006A31AE" w:rsidRPr="00267CB0" w:rsidRDefault="006A31AE" w:rsidP="00267CB0">
      <w:pPr>
        <w:spacing w:after="0" w:line="276" w:lineRule="auto"/>
        <w:rPr>
          <w:rFonts w:ascii="Arial" w:eastAsia="Times New Roman" w:hAnsi="Arial" w:cs="Arial"/>
          <w:sz w:val="24"/>
          <w:szCs w:val="24"/>
          <w:u w:val="single"/>
        </w:rPr>
      </w:pPr>
      <w:r w:rsidRPr="006A31AE">
        <w:rPr>
          <w:rFonts w:ascii="Arial" w:eastAsia="Calibri" w:hAnsi="Arial" w:cs="Arial"/>
          <w:noProof/>
          <w:sz w:val="24"/>
          <w:szCs w:val="24"/>
          <w:lang w:eastAsia="en-GB"/>
        </w:rPr>
        <w:drawing>
          <wp:inline distT="0" distB="0" distL="0" distR="0" wp14:anchorId="5FFBFC68" wp14:editId="081966AF">
            <wp:extent cx="3962400" cy="2519680"/>
            <wp:effectExtent l="0" t="0" r="0" b="1397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rsidR="006A31AE" w:rsidRDefault="006A31AE" w:rsidP="006A31AE">
      <w:pPr>
        <w:autoSpaceDE w:val="0"/>
        <w:autoSpaceDN w:val="0"/>
        <w:adjustRightInd w:val="0"/>
        <w:spacing w:after="0" w:line="276" w:lineRule="auto"/>
        <w:rPr>
          <w:rFonts w:ascii="Arial" w:eastAsia="Calibri" w:hAnsi="Arial" w:cs="Arial"/>
          <w:sz w:val="20"/>
          <w:szCs w:val="20"/>
        </w:rPr>
      </w:pPr>
      <w:r w:rsidRPr="00600C44">
        <w:rPr>
          <w:rFonts w:ascii="Arial" w:eastAsia="Calibri" w:hAnsi="Arial" w:cs="Arial"/>
          <w:sz w:val="20"/>
          <w:szCs w:val="20"/>
        </w:rPr>
        <w:t>Source : Homelessness Review and Strategy, 2018, Sect. 6.3</w:t>
      </w:r>
    </w:p>
    <w:p w:rsidR="00D648CA" w:rsidRDefault="00D648CA" w:rsidP="006A31AE">
      <w:pPr>
        <w:autoSpaceDE w:val="0"/>
        <w:autoSpaceDN w:val="0"/>
        <w:adjustRightInd w:val="0"/>
        <w:spacing w:after="0" w:line="276" w:lineRule="auto"/>
        <w:rPr>
          <w:rFonts w:ascii="Arial" w:eastAsia="Calibri" w:hAnsi="Arial" w:cs="Arial"/>
          <w:sz w:val="20"/>
          <w:szCs w:val="20"/>
        </w:rPr>
      </w:pPr>
    </w:p>
    <w:p w:rsidR="00D648CA" w:rsidRDefault="00D648CA" w:rsidP="006A31AE">
      <w:pPr>
        <w:autoSpaceDE w:val="0"/>
        <w:autoSpaceDN w:val="0"/>
        <w:adjustRightInd w:val="0"/>
        <w:spacing w:after="0" w:line="276" w:lineRule="auto"/>
        <w:rPr>
          <w:rFonts w:ascii="Arial" w:eastAsia="Calibri" w:hAnsi="Arial" w:cs="Arial"/>
          <w:sz w:val="20"/>
          <w:szCs w:val="20"/>
        </w:rPr>
      </w:pPr>
    </w:p>
    <w:p w:rsidR="00267CB0" w:rsidRPr="00267CB0" w:rsidRDefault="00267CB0" w:rsidP="006A31AE">
      <w:pPr>
        <w:spacing w:after="0" w:line="276" w:lineRule="auto"/>
        <w:rPr>
          <w:rFonts w:ascii="Arial" w:eastAsia="Times New Roman" w:hAnsi="Arial" w:cs="Arial"/>
          <w:sz w:val="20"/>
          <w:szCs w:val="20"/>
          <w:lang w:eastAsia="en-GB"/>
        </w:rPr>
      </w:pPr>
    </w:p>
    <w:p w:rsidR="004B1203" w:rsidRDefault="004B1203" w:rsidP="006A31AE">
      <w:pPr>
        <w:spacing w:after="0" w:line="276" w:lineRule="auto"/>
        <w:rPr>
          <w:rFonts w:ascii="Arial" w:eastAsia="Times New Roman" w:hAnsi="Arial" w:cs="Arial"/>
          <w:b/>
          <w:bCs/>
          <w:sz w:val="24"/>
          <w:szCs w:val="24"/>
          <w:lang w:eastAsia="en-GB"/>
        </w:rPr>
        <w:sectPr w:rsidR="004B1203" w:rsidSect="006A31AE">
          <w:headerReference w:type="default" r:id="rId133"/>
          <w:footerReference w:type="default" r:id="rId134"/>
          <w:pgSz w:w="16838" w:h="11906" w:orient="landscape"/>
          <w:pgMar w:top="1440" w:right="1440" w:bottom="568" w:left="1440" w:header="708" w:footer="708" w:gutter="0"/>
          <w:cols w:num="2" w:space="708"/>
          <w:docGrid w:linePitch="360"/>
        </w:sectPr>
      </w:pPr>
    </w:p>
    <w:p w:rsidR="006A31AE" w:rsidRPr="006A31AE" w:rsidRDefault="006A31AE" w:rsidP="006A31AE">
      <w:pPr>
        <w:spacing w:after="0" w:line="276" w:lineRule="auto"/>
        <w:rPr>
          <w:rFonts w:ascii="Arial" w:eastAsia="Times New Roman" w:hAnsi="Arial" w:cs="Arial"/>
          <w:b/>
          <w:bCs/>
          <w:sz w:val="24"/>
          <w:szCs w:val="24"/>
          <w:lang w:eastAsia="en-GB"/>
        </w:rPr>
      </w:pPr>
    </w:p>
    <w:p w:rsidR="006A31AE" w:rsidRPr="006A31AE" w:rsidRDefault="006A31AE" w:rsidP="006A31AE">
      <w:pPr>
        <w:spacing w:after="0" w:line="240" w:lineRule="auto"/>
        <w:rPr>
          <w:rFonts w:ascii="Arial" w:eastAsia="Times New Roman" w:hAnsi="Arial" w:cs="Arial"/>
          <w:b/>
          <w:bCs/>
          <w:color w:val="701471"/>
          <w:sz w:val="32"/>
          <w:szCs w:val="28"/>
          <w:lang w:eastAsia="en-GB"/>
        </w:rPr>
      </w:pPr>
      <w:r w:rsidRPr="006A31AE">
        <w:rPr>
          <w:rFonts w:ascii="Arial" w:eastAsia="Times New Roman" w:hAnsi="Arial" w:cs="Arial"/>
          <w:b/>
          <w:bCs/>
          <w:noProof/>
          <w:color w:val="701471"/>
          <w:sz w:val="32"/>
          <w:szCs w:val="28"/>
          <w:lang w:eastAsia="en-GB"/>
        </w:rPr>
        <w:drawing>
          <wp:inline distT="0" distB="0" distL="0" distR="0" wp14:anchorId="1B19436C" wp14:editId="333C4447">
            <wp:extent cx="666750" cy="666750"/>
            <wp:effectExtent l="19050" t="0" r="0" b="0"/>
            <wp:docPr id="4165" name="Picture 13"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54" cstate="print"/>
                    <a:stretch>
                      <a:fillRect/>
                    </a:stretch>
                  </pic:blipFill>
                  <pic:spPr>
                    <a:xfrm>
                      <a:off x="0" y="0"/>
                      <a:ext cx="666695" cy="666695"/>
                    </a:xfrm>
                    <a:prstGeom prst="rect">
                      <a:avLst/>
                    </a:prstGeom>
                  </pic:spPr>
                </pic:pic>
              </a:graphicData>
            </a:graphic>
          </wp:inline>
        </w:drawing>
      </w:r>
      <w:r w:rsidRPr="006A31AE">
        <w:rPr>
          <w:rFonts w:ascii="Arial" w:eastAsia="Times New Roman" w:hAnsi="Arial" w:cs="Arial"/>
          <w:b/>
          <w:bCs/>
          <w:color w:val="701471"/>
          <w:sz w:val="32"/>
          <w:szCs w:val="28"/>
          <w:lang w:eastAsia="en-GB"/>
        </w:rPr>
        <w:t xml:space="preserve"> </w:t>
      </w:r>
      <w:r w:rsidRPr="006A31AE">
        <w:rPr>
          <w:rFonts w:ascii="Arial" w:eastAsia="Times New Roman" w:hAnsi="Arial" w:cs="Arial"/>
          <w:b/>
          <w:bCs/>
          <w:color w:val="701471"/>
          <w:sz w:val="40"/>
          <w:szCs w:val="28"/>
          <w:lang w:eastAsia="en-GB"/>
        </w:rPr>
        <w:t>Health</w:t>
      </w:r>
    </w:p>
    <w:p w:rsidR="006A31AE" w:rsidRPr="006A31AE" w:rsidRDefault="006A31AE" w:rsidP="006A31AE">
      <w:pPr>
        <w:spacing w:after="0" w:line="240" w:lineRule="auto"/>
        <w:rPr>
          <w:rFonts w:ascii="Arial" w:eastAsia="Times New Roman" w:hAnsi="Arial" w:cs="Arial"/>
          <w:bCs/>
          <w:color w:val="701471"/>
          <w:sz w:val="28"/>
          <w:szCs w:val="28"/>
          <w:lang w:eastAsia="en-GB"/>
        </w:rPr>
      </w:pPr>
      <w:r w:rsidRPr="006A31AE">
        <w:rPr>
          <w:rFonts w:ascii="Arial" w:eastAsia="Times New Roman" w:hAnsi="Arial" w:cs="Arial"/>
          <w:bCs/>
          <w:noProof/>
          <w:color w:val="701471"/>
          <w:sz w:val="28"/>
          <w:szCs w:val="28"/>
          <w:lang w:eastAsia="en-GB"/>
        </w:rPr>
        <mc:AlternateContent>
          <mc:Choice Requires="wps">
            <w:drawing>
              <wp:anchor distT="0" distB="0" distL="114300" distR="114300" simplePos="0" relativeHeight="251738112" behindDoc="0" locked="0" layoutInCell="1" allowOverlap="1" wp14:anchorId="2A141A8E" wp14:editId="604B8D5B">
                <wp:simplePos x="0" y="0"/>
                <wp:positionH relativeFrom="column">
                  <wp:posOffset>-28575</wp:posOffset>
                </wp:positionH>
                <wp:positionV relativeFrom="paragraph">
                  <wp:posOffset>128270</wp:posOffset>
                </wp:positionV>
                <wp:extent cx="3975735" cy="4946015"/>
                <wp:effectExtent l="0" t="0" r="24765" b="26035"/>
                <wp:wrapNone/>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735" cy="4946015"/>
                        </a:xfrm>
                        <a:prstGeom prst="rect">
                          <a:avLst/>
                        </a:prstGeom>
                        <a:solidFill>
                          <a:srgbClr val="FFFFFF"/>
                        </a:solidFill>
                        <a:ln w="9525">
                          <a:solidFill>
                            <a:srgbClr val="000000"/>
                          </a:solidFill>
                          <a:miter lim="800000"/>
                          <a:headEnd/>
                          <a:tailEnd/>
                        </a:ln>
                      </wps:spPr>
                      <wps:txbx>
                        <w:txbxContent>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Areas of progress</w:t>
                            </w:r>
                          </w:p>
                          <w:p w:rsidR="00721450" w:rsidRPr="006C1B2B" w:rsidRDefault="00721450" w:rsidP="006A31AE">
                            <w:pPr>
                              <w:spacing w:after="0" w:line="240" w:lineRule="auto"/>
                              <w:rPr>
                                <w:rFonts w:eastAsia="Times New Roman"/>
                                <w:bCs/>
                                <w:color w:val="701471"/>
                                <w:sz w:val="28"/>
                                <w:szCs w:val="28"/>
                                <w:lang w:eastAsia="en-GB"/>
                              </w:rPr>
                            </w:pPr>
                          </w:p>
                          <w:p w:rsidR="00721450" w:rsidRPr="00BE49E5" w:rsidRDefault="00721450" w:rsidP="006A31AE">
                            <w:pPr>
                              <w:pStyle w:val="ListParagraph"/>
                              <w:numPr>
                                <w:ilvl w:val="0"/>
                                <w:numId w:val="1"/>
                              </w:numPr>
                              <w:spacing w:after="0" w:line="240" w:lineRule="auto"/>
                              <w:rPr>
                                <w:rFonts w:eastAsia="Times New Roman"/>
                                <w:bCs/>
                                <w:lang w:eastAsia="en-GB"/>
                              </w:rPr>
                            </w:pPr>
                            <w:r w:rsidRPr="00BE49E5">
                              <w:rPr>
                                <w:rFonts w:eastAsia="Times New Roman"/>
                                <w:bCs/>
                                <w:lang w:eastAsia="en-GB"/>
                              </w:rPr>
                              <w:t>Breastfeeding prevalence at 6-8 weeks remains higher than the national average.</w:t>
                            </w:r>
                          </w:p>
                          <w:p w:rsidR="00721450" w:rsidRPr="006E7BA7" w:rsidRDefault="00721450" w:rsidP="006A31AE">
                            <w:pPr>
                              <w:pStyle w:val="ListParagraph"/>
                              <w:numPr>
                                <w:ilvl w:val="0"/>
                                <w:numId w:val="1"/>
                              </w:numPr>
                              <w:spacing w:after="0" w:line="240" w:lineRule="auto"/>
                              <w:rPr>
                                <w:rFonts w:eastAsia="Times New Roman"/>
                                <w:bCs/>
                                <w:lang w:eastAsia="en-GB"/>
                              </w:rPr>
                            </w:pPr>
                            <w:r w:rsidRPr="006E7BA7">
                              <w:rPr>
                                <w:rFonts w:eastAsia="Times New Roman"/>
                                <w:bCs/>
                                <w:lang w:eastAsia="en-GB"/>
                              </w:rPr>
                              <w:t>The percentage of adults smoking in Croydon continues to fall and is below the national average.</w:t>
                            </w:r>
                          </w:p>
                          <w:p w:rsidR="00721450" w:rsidRDefault="00721450" w:rsidP="006A31AE">
                            <w:pPr>
                              <w:pStyle w:val="ListParagraph"/>
                              <w:numPr>
                                <w:ilvl w:val="0"/>
                                <w:numId w:val="1"/>
                              </w:numPr>
                              <w:spacing w:after="0" w:line="240" w:lineRule="auto"/>
                              <w:rPr>
                                <w:rFonts w:eastAsia="Times New Roman"/>
                                <w:bCs/>
                                <w:lang w:eastAsia="en-GB"/>
                              </w:rPr>
                            </w:pPr>
                            <w:r w:rsidRPr="00EA18EC">
                              <w:rPr>
                                <w:rFonts w:eastAsia="Times New Roman"/>
                                <w:bCs/>
                                <w:lang w:eastAsia="en-GB"/>
                              </w:rPr>
                              <w:t>Life expectancy at birth for men and women continues to increase.</w:t>
                            </w:r>
                          </w:p>
                          <w:p w:rsidR="00721450" w:rsidRPr="00EA18EC" w:rsidRDefault="00721450" w:rsidP="00666438">
                            <w:pPr>
                              <w:pStyle w:val="ListParagraph"/>
                              <w:numPr>
                                <w:ilvl w:val="0"/>
                                <w:numId w:val="1"/>
                              </w:numPr>
                            </w:pPr>
                            <w:r>
                              <w:t>The t</w:t>
                            </w:r>
                            <w:r w:rsidRPr="00EA18EC">
                              <w:t>eenage conception rate in Croydon is sti</w:t>
                            </w:r>
                            <w:r>
                              <w:t>ll one of the highest in London but the trend has continued downwards since 1998.</w:t>
                            </w:r>
                          </w:p>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Challenges</w:t>
                            </w:r>
                          </w:p>
                          <w:p w:rsidR="00721450" w:rsidRPr="006C1B2B" w:rsidRDefault="00721450" w:rsidP="006A31AE">
                            <w:pPr>
                              <w:spacing w:after="0" w:line="240" w:lineRule="auto"/>
                              <w:rPr>
                                <w:rFonts w:eastAsia="Times New Roman"/>
                                <w:bCs/>
                                <w:color w:val="701471"/>
                                <w:sz w:val="28"/>
                                <w:szCs w:val="28"/>
                                <w:lang w:eastAsia="en-GB"/>
                              </w:rPr>
                            </w:pPr>
                          </w:p>
                          <w:p w:rsidR="00721450" w:rsidRPr="008211F4" w:rsidRDefault="00721450" w:rsidP="006A31AE">
                            <w:pPr>
                              <w:pStyle w:val="ListParagraph"/>
                              <w:numPr>
                                <w:ilvl w:val="0"/>
                                <w:numId w:val="2"/>
                              </w:numPr>
                            </w:pPr>
                            <w:r w:rsidRPr="008211F4">
                              <w:t>Vaccination coverage remains low for a number of child and adult vaccinations.</w:t>
                            </w:r>
                          </w:p>
                          <w:p w:rsidR="00721450" w:rsidRPr="005A2C8D" w:rsidRDefault="00721450" w:rsidP="006A31AE">
                            <w:pPr>
                              <w:pStyle w:val="ListParagraph"/>
                              <w:numPr>
                                <w:ilvl w:val="0"/>
                                <w:numId w:val="2"/>
                              </w:numPr>
                            </w:pPr>
                            <w:r w:rsidRPr="005A2C8D">
                              <w:t>The proportion of patients with a diabetes diagnosis remains high.</w:t>
                            </w:r>
                          </w:p>
                          <w:p w:rsidR="00721450" w:rsidRPr="005A2C8D" w:rsidRDefault="00721450" w:rsidP="006A31AE">
                            <w:pPr>
                              <w:pStyle w:val="ListParagraph"/>
                              <w:numPr>
                                <w:ilvl w:val="0"/>
                                <w:numId w:val="2"/>
                              </w:numPr>
                            </w:pPr>
                            <w:r w:rsidRPr="005A2C8D">
                              <w:t>The rate of injuries due to falls in over 65s also remains high.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141A8E" id="_x0000_s1086" type="#_x0000_t202" style="position:absolute;margin-left:-2.25pt;margin-top:10.1pt;width:313.05pt;height:389.4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">
                <v:textbox>
                  <w:txbxContent>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Areas of progress</w:t>
                      </w:r>
                    </w:p>
                    <w:p w:rsidR="00721450" w:rsidRPr="006C1B2B" w:rsidRDefault="00721450" w:rsidP="006A31AE">
                      <w:pPr>
                        <w:spacing w:after="0" w:line="240" w:lineRule="auto"/>
                        <w:rPr>
                          <w:rFonts w:eastAsia="Times New Roman"/>
                          <w:bCs/>
                          <w:color w:val="701471"/>
                          <w:sz w:val="28"/>
                          <w:szCs w:val="28"/>
                          <w:lang w:eastAsia="en-GB"/>
                        </w:rPr>
                      </w:pPr>
                    </w:p>
                    <w:p w:rsidR="00721450" w:rsidRPr="00BE49E5" w:rsidRDefault="00721450" w:rsidP="006A31AE">
                      <w:pPr>
                        <w:pStyle w:val="ListParagraph"/>
                        <w:numPr>
                          <w:ilvl w:val="0"/>
                          <w:numId w:val="1"/>
                        </w:numPr>
                        <w:spacing w:after="0" w:line="240" w:lineRule="auto"/>
                        <w:rPr>
                          <w:rFonts w:eastAsia="Times New Roman"/>
                          <w:bCs/>
                          <w:lang w:eastAsia="en-GB"/>
                        </w:rPr>
                      </w:pPr>
                      <w:r w:rsidRPr="00BE49E5">
                        <w:rPr>
                          <w:rFonts w:eastAsia="Times New Roman"/>
                          <w:bCs/>
                          <w:lang w:eastAsia="en-GB"/>
                        </w:rPr>
                        <w:t>Breastfeeding prevalence at 6-8 weeks remains higher than the national average.</w:t>
                      </w:r>
                    </w:p>
                    <w:p w:rsidR="00721450" w:rsidRPr="006E7BA7" w:rsidRDefault="00721450" w:rsidP="006A31AE">
                      <w:pPr>
                        <w:pStyle w:val="ListParagraph"/>
                        <w:numPr>
                          <w:ilvl w:val="0"/>
                          <w:numId w:val="1"/>
                        </w:numPr>
                        <w:spacing w:after="0" w:line="240" w:lineRule="auto"/>
                        <w:rPr>
                          <w:rFonts w:eastAsia="Times New Roman"/>
                          <w:bCs/>
                          <w:lang w:eastAsia="en-GB"/>
                        </w:rPr>
                      </w:pPr>
                      <w:r w:rsidRPr="006E7BA7">
                        <w:rPr>
                          <w:rFonts w:eastAsia="Times New Roman"/>
                          <w:bCs/>
                          <w:lang w:eastAsia="en-GB"/>
                        </w:rPr>
                        <w:t>The percentage of adults smoking in Croydon continues to fall and is below the national average.</w:t>
                      </w:r>
                    </w:p>
                    <w:p w:rsidR="00721450" w:rsidRDefault="00721450" w:rsidP="006A31AE">
                      <w:pPr>
                        <w:pStyle w:val="ListParagraph"/>
                        <w:numPr>
                          <w:ilvl w:val="0"/>
                          <w:numId w:val="1"/>
                        </w:numPr>
                        <w:spacing w:after="0" w:line="240" w:lineRule="auto"/>
                        <w:rPr>
                          <w:rFonts w:eastAsia="Times New Roman"/>
                          <w:bCs/>
                          <w:lang w:eastAsia="en-GB"/>
                        </w:rPr>
                      </w:pPr>
                      <w:r w:rsidRPr="00EA18EC">
                        <w:rPr>
                          <w:rFonts w:eastAsia="Times New Roman"/>
                          <w:bCs/>
                          <w:lang w:eastAsia="en-GB"/>
                        </w:rPr>
                        <w:t>Life expectancy at birth for men and women continues to increase.</w:t>
                      </w:r>
                    </w:p>
                    <w:p w:rsidR="00721450" w:rsidRPr="00EA18EC" w:rsidRDefault="00721450" w:rsidP="00666438">
                      <w:pPr>
                        <w:pStyle w:val="ListParagraph"/>
                        <w:numPr>
                          <w:ilvl w:val="0"/>
                          <w:numId w:val="1"/>
                        </w:numPr>
                      </w:pPr>
                      <w:r>
                        <w:t>The t</w:t>
                      </w:r>
                      <w:r w:rsidRPr="00EA18EC">
                        <w:t>eenage conception rate in Croydon is sti</w:t>
                      </w:r>
                      <w:r>
                        <w:t>ll one of the highest in London but the trend has continued downwards since 1998.</w:t>
                      </w:r>
                    </w:p>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Challenges</w:t>
                      </w:r>
                    </w:p>
                    <w:p w:rsidR="00721450" w:rsidRPr="006C1B2B" w:rsidRDefault="00721450" w:rsidP="006A31AE">
                      <w:pPr>
                        <w:spacing w:after="0" w:line="240" w:lineRule="auto"/>
                        <w:rPr>
                          <w:rFonts w:eastAsia="Times New Roman"/>
                          <w:bCs/>
                          <w:color w:val="701471"/>
                          <w:sz w:val="28"/>
                          <w:szCs w:val="28"/>
                          <w:lang w:eastAsia="en-GB"/>
                        </w:rPr>
                      </w:pPr>
                    </w:p>
                    <w:p w:rsidR="00721450" w:rsidRPr="008211F4" w:rsidRDefault="00721450" w:rsidP="006A31AE">
                      <w:pPr>
                        <w:pStyle w:val="ListParagraph"/>
                        <w:numPr>
                          <w:ilvl w:val="0"/>
                          <w:numId w:val="2"/>
                        </w:numPr>
                      </w:pPr>
                      <w:r w:rsidRPr="008211F4">
                        <w:t>Vaccination coverage remains low for a number of child and adult vaccinations.</w:t>
                      </w:r>
                    </w:p>
                    <w:p w:rsidR="00721450" w:rsidRPr="005A2C8D" w:rsidRDefault="00721450" w:rsidP="006A31AE">
                      <w:pPr>
                        <w:pStyle w:val="ListParagraph"/>
                        <w:numPr>
                          <w:ilvl w:val="0"/>
                          <w:numId w:val="2"/>
                        </w:numPr>
                      </w:pPr>
                      <w:r w:rsidRPr="005A2C8D">
                        <w:t>The proportion of patients with a diabetes diagnosis remains high.</w:t>
                      </w:r>
                    </w:p>
                    <w:p w:rsidR="00721450" w:rsidRPr="005A2C8D" w:rsidRDefault="00721450" w:rsidP="006A31AE">
                      <w:pPr>
                        <w:pStyle w:val="ListParagraph"/>
                        <w:numPr>
                          <w:ilvl w:val="0"/>
                          <w:numId w:val="2"/>
                        </w:numPr>
                      </w:pPr>
                      <w:r w:rsidRPr="005A2C8D">
                        <w:t>The rate of injuries due to falls in over 65s also remains high.</w:t>
                      </w:r>
                    </w:p>
                  </w:txbxContent>
                </v:textbox>
              </v:shape>
            </w:pict>
          </mc:Fallback>
        </mc:AlternateContent>
      </w:r>
    </w:p>
    <w:p w:rsidR="006A31AE" w:rsidRPr="006A31AE" w:rsidRDefault="006A31AE" w:rsidP="006A31AE">
      <w:pPr>
        <w:spacing w:after="0" w:line="240" w:lineRule="auto"/>
        <w:rPr>
          <w:rFonts w:ascii="Arial" w:eastAsia="Times New Roman" w:hAnsi="Arial" w:cs="Arial"/>
          <w:bCs/>
          <w:color w:val="701471"/>
          <w:sz w:val="28"/>
          <w:szCs w:val="28"/>
          <w:lang w:eastAsia="en-GB"/>
        </w:rPr>
      </w:pPr>
    </w:p>
    <w:p w:rsidR="006A31AE" w:rsidRPr="006A31AE" w:rsidRDefault="006A31AE" w:rsidP="006A31AE">
      <w:pPr>
        <w:spacing w:after="0" w:line="240" w:lineRule="auto"/>
        <w:rPr>
          <w:rFonts w:ascii="Arial" w:eastAsia="Times New Roman" w:hAnsi="Arial" w:cs="Arial"/>
          <w:bCs/>
          <w:color w:val="006600"/>
          <w:sz w:val="28"/>
          <w:szCs w:val="28"/>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Default="006A31AE" w:rsidP="006A31AE">
      <w:pPr>
        <w:spacing w:after="0" w:line="240" w:lineRule="auto"/>
        <w:rPr>
          <w:rFonts w:ascii="Arial" w:eastAsia="Times New Roman" w:hAnsi="Arial" w:cs="Arial"/>
          <w:bCs/>
          <w:color w:val="000000"/>
          <w:sz w:val="24"/>
          <w:szCs w:val="24"/>
          <w:lang w:eastAsia="en-GB"/>
        </w:rPr>
      </w:pPr>
    </w:p>
    <w:p w:rsidR="00CB6E0A" w:rsidRPr="006A31AE" w:rsidRDefault="00CB6E0A"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Overview</w:t>
      </w:r>
    </w:p>
    <w:p w:rsidR="006A31AE" w:rsidRP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This section looks at the general health of the population in the borough, focusing on issues relating to Public Health.</w:t>
      </w:r>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General_health" w:history="1">
        <w:r w:rsidR="006A31AE" w:rsidRPr="006A31AE">
          <w:rPr>
            <w:rFonts w:ascii="Arial" w:eastAsia="Times New Roman" w:hAnsi="Arial" w:cs="Arial"/>
            <w:bCs/>
            <w:color w:val="0000FF"/>
            <w:sz w:val="24"/>
            <w:szCs w:val="24"/>
            <w:u w:val="single"/>
            <w:lang w:eastAsia="en-GB"/>
          </w:rPr>
          <w:t>General health</w:t>
        </w:r>
      </w:hyperlink>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Children_and_young" w:history="1">
        <w:r w:rsidR="006A31AE" w:rsidRPr="006A31AE">
          <w:rPr>
            <w:rFonts w:ascii="Arial" w:eastAsia="Times New Roman" w:hAnsi="Arial" w:cs="Arial"/>
            <w:bCs/>
            <w:color w:val="0000FF"/>
            <w:sz w:val="24"/>
            <w:szCs w:val="24"/>
            <w:u w:val="single"/>
            <w:lang w:eastAsia="en-GB"/>
          </w:rPr>
          <w:t>Children and young people’s health</w:t>
        </w:r>
      </w:hyperlink>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Adults’_health_and" w:history="1">
        <w:r w:rsidR="006A31AE" w:rsidRPr="006A31AE">
          <w:rPr>
            <w:rFonts w:ascii="Arial" w:eastAsia="Times New Roman" w:hAnsi="Arial" w:cs="Arial"/>
            <w:bCs/>
            <w:color w:val="0000FF"/>
            <w:sz w:val="24"/>
            <w:szCs w:val="24"/>
            <w:u w:val="single"/>
            <w:lang w:eastAsia="en-GB"/>
          </w:rPr>
          <w:t>Adults’ health and lifestyle</w:t>
        </w:r>
      </w:hyperlink>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Disease_and_poor" w:history="1">
        <w:r w:rsidR="006A31AE" w:rsidRPr="006A31AE">
          <w:rPr>
            <w:rFonts w:ascii="Arial" w:eastAsia="Times New Roman" w:hAnsi="Arial" w:cs="Arial"/>
            <w:bCs/>
            <w:color w:val="0000FF"/>
            <w:sz w:val="24"/>
            <w:szCs w:val="24"/>
            <w:u w:val="single"/>
            <w:lang w:eastAsia="en-GB"/>
          </w:rPr>
          <w:t>Disease and poor health</w:t>
        </w:r>
      </w:hyperlink>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Life_expectancy_and" w:history="1">
        <w:r w:rsidR="006A31AE" w:rsidRPr="006A31AE">
          <w:rPr>
            <w:rFonts w:ascii="Arial" w:eastAsia="Times New Roman" w:hAnsi="Arial" w:cs="Arial"/>
            <w:bCs/>
            <w:color w:val="0000FF"/>
            <w:sz w:val="24"/>
            <w:szCs w:val="24"/>
            <w:u w:val="single"/>
            <w:lang w:eastAsia="en-GB"/>
          </w:rPr>
          <w:t>Life expectancy and cause of death</w:t>
        </w:r>
      </w:hyperlink>
    </w:p>
    <w:p w:rsidR="006A31AE" w:rsidRPr="006A31AE" w:rsidRDefault="006A31AE"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bookmarkStart w:id="19" w:name="_General_health"/>
      <w:bookmarkEnd w:id="19"/>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General health</w:t>
      </w:r>
    </w:p>
    <w:p w:rsidR="006A31AE" w:rsidRPr="006A31AE" w:rsidRDefault="006A31AE" w:rsidP="006A31AE">
      <w:pPr>
        <w:spacing w:after="0" w:line="276" w:lineRule="auto"/>
        <w:rPr>
          <w:rFonts w:ascii="Arial" w:eastAsia="Calibri" w:hAnsi="Arial" w:cs="Arial"/>
          <w:sz w:val="24"/>
          <w:szCs w:val="24"/>
        </w:rPr>
      </w:pP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 xml:space="preserve">The 2011 Census asked residents to rate their general health as very good, good, fair, bad or very bad. In Croydon 83.4% of residents had very good or good health and only 4.6% had bad or very bad health. </w:t>
      </w: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This was better than the national average, across England where 81.4% of people had very good or good health and 6.7% had bad or very bad health. The London figures were also above the national average with 83.8% of Londoners recording that they had very good or good health and only 5.0% recording bad or very bad health.</w:t>
      </w:r>
    </w:p>
    <w:p w:rsidR="006A31AE" w:rsidRPr="006A31AE" w:rsidRDefault="006A31AE" w:rsidP="006A31AE">
      <w:pPr>
        <w:spacing w:after="200" w:line="276" w:lineRule="auto"/>
        <w:rPr>
          <w:rFonts w:ascii="Arial" w:eastAsia="Calibri" w:hAnsi="Arial" w:cs="Arial"/>
          <w:sz w:val="24"/>
          <w:szCs w:val="24"/>
        </w:rPr>
      </w:pPr>
    </w:p>
    <w:p w:rsidR="00D648CA" w:rsidRDefault="00D648CA" w:rsidP="006A31AE">
      <w:pPr>
        <w:spacing w:after="200" w:line="276" w:lineRule="auto"/>
        <w:rPr>
          <w:rFonts w:ascii="Arial" w:eastAsia="Calibri" w:hAnsi="Arial" w:cs="Arial"/>
          <w:sz w:val="24"/>
          <w:szCs w:val="24"/>
        </w:rPr>
      </w:pP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82.2% of females in Croydon said they had very good or good health, lower than the 84.8% of males. A higher proportion of females had bad or very bad health at 4.9%, compared to only 4.3% of males.</w:t>
      </w: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The younger population in Croydon indicated very good or good health as shown in Figure 1. Only half of the population aged 65 and over said they had very good or good health.</w:t>
      </w:r>
    </w:p>
    <w:p w:rsidR="006A31AE" w:rsidRPr="00CF633E" w:rsidRDefault="006A31AE" w:rsidP="006A31AE">
      <w:pPr>
        <w:spacing w:after="200" w:line="276" w:lineRule="auto"/>
        <w:rPr>
          <w:rFonts w:ascii="Arial" w:eastAsia="Calibri" w:hAnsi="Arial" w:cs="Arial"/>
          <w:sz w:val="24"/>
          <w:szCs w:val="24"/>
          <w:u w:val="single"/>
        </w:rPr>
      </w:pPr>
      <w:r w:rsidRPr="00CF633E">
        <w:rPr>
          <w:rFonts w:ascii="Arial" w:eastAsia="Calibri" w:hAnsi="Arial" w:cs="Arial"/>
          <w:sz w:val="24"/>
          <w:szCs w:val="24"/>
          <w:u w:val="single"/>
        </w:rPr>
        <w:t>Figure 1 – General health by age group</w:t>
      </w:r>
    </w:p>
    <w:p w:rsidR="006A31AE" w:rsidRPr="006A31AE" w:rsidRDefault="006A31AE" w:rsidP="006A31AE">
      <w:pPr>
        <w:spacing w:after="0" w:line="240" w:lineRule="auto"/>
        <w:outlineLvl w:val="0"/>
        <w:rPr>
          <w:rFonts w:ascii="Arial" w:eastAsia="Times New Roman" w:hAnsi="Arial" w:cs="Arial"/>
          <w:b/>
          <w:bCs/>
          <w:sz w:val="28"/>
          <w:szCs w:val="24"/>
          <w:lang w:eastAsia="en-GB"/>
        </w:rPr>
      </w:pPr>
      <w:r w:rsidRPr="006A31AE">
        <w:rPr>
          <w:rFonts w:ascii="Arial" w:eastAsia="Times New Roman" w:hAnsi="Arial" w:cs="Arial"/>
          <w:b/>
          <w:bCs/>
          <w:noProof/>
          <w:sz w:val="28"/>
          <w:szCs w:val="24"/>
          <w:lang w:eastAsia="en-GB"/>
        </w:rPr>
        <w:drawing>
          <wp:inline distT="0" distB="0" distL="0" distR="0" wp14:anchorId="4D7AB8BF" wp14:editId="780E454F">
            <wp:extent cx="3825240" cy="2835900"/>
            <wp:effectExtent l="0" t="0" r="3810" b="3175"/>
            <wp:docPr id="41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5" cstate="print"/>
                    <a:srcRect/>
                    <a:stretch>
                      <a:fillRect/>
                    </a:stretch>
                  </pic:blipFill>
                  <pic:spPr bwMode="auto">
                    <a:xfrm>
                      <a:off x="0" y="0"/>
                      <a:ext cx="3837779" cy="2845196"/>
                    </a:xfrm>
                    <a:prstGeom prst="rect">
                      <a:avLst/>
                    </a:prstGeom>
                    <a:noFill/>
                  </pic:spPr>
                </pic:pic>
              </a:graphicData>
            </a:graphic>
          </wp:inline>
        </w:drawing>
      </w:r>
    </w:p>
    <w:p w:rsidR="006A31AE" w:rsidRPr="00600C44" w:rsidRDefault="006A31AE" w:rsidP="00C45B76">
      <w:pPr>
        <w:spacing w:before="120" w:after="0" w:line="360" w:lineRule="auto"/>
        <w:rPr>
          <w:rFonts w:ascii="Arial" w:eastAsia="Calibri" w:hAnsi="Arial" w:cs="Arial"/>
          <w:sz w:val="20"/>
          <w:szCs w:val="20"/>
        </w:rPr>
      </w:pPr>
      <w:r w:rsidRPr="00600C44">
        <w:rPr>
          <w:rFonts w:ascii="Arial" w:eastAsia="Calibri" w:hAnsi="Arial" w:cs="Arial"/>
          <w:sz w:val="20"/>
          <w:szCs w:val="20"/>
        </w:rPr>
        <w:t>Source: ONS Census 2011 Table LC3206EW</w:t>
      </w:r>
    </w:p>
    <w:p w:rsidR="00CF633E" w:rsidRDefault="00CF633E" w:rsidP="007B0710">
      <w:pPr>
        <w:spacing w:after="0" w:line="240" w:lineRule="auto"/>
        <w:rPr>
          <w:rFonts w:ascii="Arial" w:eastAsia="Calibri" w:hAnsi="Arial" w:cs="Arial"/>
          <w:sz w:val="24"/>
          <w:szCs w:val="24"/>
        </w:rPr>
      </w:pPr>
    </w:p>
    <w:p w:rsidR="004439DD" w:rsidRDefault="004439DD" w:rsidP="006A31AE">
      <w:pPr>
        <w:spacing w:after="200" w:line="276" w:lineRule="auto"/>
        <w:rPr>
          <w:rFonts w:ascii="Arial" w:eastAsia="Calibri" w:hAnsi="Arial" w:cs="Arial"/>
          <w:sz w:val="24"/>
          <w:szCs w:val="24"/>
        </w:rPr>
      </w:pPr>
    </w:p>
    <w:p w:rsidR="00D648CA" w:rsidRDefault="00D648CA" w:rsidP="006A31AE">
      <w:pPr>
        <w:spacing w:after="200" w:line="276" w:lineRule="auto"/>
        <w:rPr>
          <w:rFonts w:ascii="Arial" w:eastAsia="Calibri" w:hAnsi="Arial" w:cs="Arial"/>
          <w:sz w:val="24"/>
          <w:szCs w:val="24"/>
        </w:rPr>
      </w:pP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The highest proportion of Croydon residents who reported very good or good health were from mixed or multiple ethnic backgrounds. Figure 2 sho</w:t>
      </w:r>
      <w:r w:rsidR="00264977">
        <w:rPr>
          <w:rFonts w:ascii="Arial" w:eastAsia="Calibri" w:hAnsi="Arial" w:cs="Arial"/>
          <w:sz w:val="24"/>
          <w:szCs w:val="24"/>
        </w:rPr>
        <w:t xml:space="preserve">ws that a higher proportion of </w:t>
      </w:r>
      <w:r w:rsidRPr="006A31AE">
        <w:rPr>
          <w:rFonts w:ascii="Arial" w:eastAsia="Calibri" w:hAnsi="Arial" w:cs="Arial"/>
          <w:sz w:val="24"/>
          <w:szCs w:val="24"/>
        </w:rPr>
        <w:t>residents from white ethnic backgrounds reported fair or bad or very bad health.</w:t>
      </w:r>
    </w:p>
    <w:p w:rsidR="006A31AE" w:rsidRPr="00CF633E" w:rsidRDefault="006A31AE" w:rsidP="006A31AE">
      <w:pPr>
        <w:spacing w:after="200" w:line="276" w:lineRule="auto"/>
        <w:rPr>
          <w:rFonts w:ascii="Arial" w:eastAsia="Calibri" w:hAnsi="Arial" w:cs="Arial"/>
          <w:sz w:val="24"/>
          <w:szCs w:val="24"/>
          <w:u w:val="single"/>
        </w:rPr>
      </w:pPr>
      <w:r w:rsidRPr="00CF633E">
        <w:rPr>
          <w:rFonts w:ascii="Arial" w:eastAsia="Calibri" w:hAnsi="Arial" w:cs="Arial"/>
          <w:sz w:val="24"/>
          <w:szCs w:val="24"/>
          <w:u w:val="single"/>
        </w:rPr>
        <w:t>Figure 2 – General health by ethnic group</w:t>
      </w:r>
    </w:p>
    <w:p w:rsidR="006A31AE" w:rsidRPr="006A31AE" w:rsidRDefault="006A31AE" w:rsidP="00600C44">
      <w:pPr>
        <w:spacing w:after="0" w:line="240" w:lineRule="auto"/>
        <w:rPr>
          <w:rFonts w:ascii="Arial" w:eastAsia="Calibri" w:hAnsi="Arial" w:cs="Arial"/>
          <w:sz w:val="24"/>
          <w:szCs w:val="24"/>
        </w:rPr>
      </w:pPr>
      <w:r w:rsidRPr="006A31AE">
        <w:rPr>
          <w:rFonts w:ascii="Arial" w:eastAsia="Calibri" w:hAnsi="Arial" w:cs="Arial"/>
          <w:noProof/>
          <w:sz w:val="24"/>
          <w:szCs w:val="24"/>
          <w:lang w:eastAsia="en-GB"/>
        </w:rPr>
        <w:drawing>
          <wp:inline distT="0" distB="0" distL="0" distR="0" wp14:anchorId="5685E44E" wp14:editId="699460DF">
            <wp:extent cx="3855720" cy="2791827"/>
            <wp:effectExtent l="0" t="0" r="0" b="8890"/>
            <wp:docPr id="416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6" cstate="print"/>
                    <a:srcRect/>
                    <a:stretch>
                      <a:fillRect/>
                    </a:stretch>
                  </pic:blipFill>
                  <pic:spPr bwMode="auto">
                    <a:xfrm>
                      <a:off x="0" y="0"/>
                      <a:ext cx="3871133" cy="2802987"/>
                    </a:xfrm>
                    <a:prstGeom prst="rect">
                      <a:avLst/>
                    </a:prstGeom>
                    <a:noFill/>
                  </pic:spPr>
                </pic:pic>
              </a:graphicData>
            </a:graphic>
          </wp:inline>
        </w:drawing>
      </w:r>
    </w:p>
    <w:p w:rsidR="006A31AE" w:rsidRPr="00600C44" w:rsidRDefault="006A31AE" w:rsidP="00C45B76">
      <w:pPr>
        <w:spacing w:before="120" w:after="0" w:line="240" w:lineRule="auto"/>
        <w:rPr>
          <w:rFonts w:ascii="Arial" w:eastAsia="Calibri" w:hAnsi="Arial" w:cs="Arial"/>
          <w:sz w:val="20"/>
          <w:szCs w:val="20"/>
        </w:rPr>
      </w:pPr>
      <w:r w:rsidRPr="00600C44">
        <w:rPr>
          <w:rFonts w:ascii="Arial" w:eastAsia="Calibri" w:hAnsi="Arial" w:cs="Arial"/>
          <w:sz w:val="20"/>
          <w:szCs w:val="20"/>
        </w:rPr>
        <w:t>Source: ONS Census 2011 Table LC3206EW</w:t>
      </w:r>
    </w:p>
    <w:p w:rsidR="006A31AE" w:rsidRDefault="006A31AE" w:rsidP="00267CB0">
      <w:pPr>
        <w:spacing w:after="0" w:line="240" w:lineRule="auto"/>
        <w:rPr>
          <w:rFonts w:ascii="Arial" w:eastAsia="Calibri" w:hAnsi="Arial" w:cs="Arial"/>
          <w:sz w:val="24"/>
          <w:szCs w:val="24"/>
        </w:rPr>
      </w:pPr>
    </w:p>
    <w:p w:rsidR="00D648CA" w:rsidRDefault="00D648CA" w:rsidP="00267CB0">
      <w:pPr>
        <w:spacing w:after="0" w:line="240" w:lineRule="auto"/>
        <w:rPr>
          <w:rFonts w:ascii="Arial" w:eastAsia="Calibri" w:hAnsi="Arial" w:cs="Arial"/>
          <w:sz w:val="24"/>
          <w:szCs w:val="24"/>
        </w:rPr>
      </w:pPr>
    </w:p>
    <w:p w:rsidR="00D648CA" w:rsidRDefault="00D648CA" w:rsidP="00267CB0">
      <w:pPr>
        <w:spacing w:after="0" w:line="240" w:lineRule="auto"/>
        <w:rPr>
          <w:rFonts w:ascii="Arial" w:eastAsia="Calibri" w:hAnsi="Arial" w:cs="Arial"/>
          <w:sz w:val="24"/>
          <w:szCs w:val="24"/>
        </w:rPr>
      </w:pPr>
    </w:p>
    <w:p w:rsidR="00D648CA" w:rsidRDefault="00D648CA" w:rsidP="00267CB0">
      <w:pPr>
        <w:spacing w:after="0" w:line="240" w:lineRule="auto"/>
        <w:rPr>
          <w:rFonts w:ascii="Arial" w:eastAsia="Calibri" w:hAnsi="Arial" w:cs="Arial"/>
          <w:sz w:val="24"/>
          <w:szCs w:val="24"/>
        </w:rPr>
      </w:pPr>
    </w:p>
    <w:p w:rsidR="00D648CA" w:rsidRDefault="00D648CA" w:rsidP="00267CB0">
      <w:pPr>
        <w:spacing w:after="0" w:line="240" w:lineRule="auto"/>
        <w:rPr>
          <w:rFonts w:ascii="Arial" w:eastAsia="Calibri" w:hAnsi="Arial" w:cs="Arial"/>
          <w:sz w:val="24"/>
          <w:szCs w:val="24"/>
        </w:rPr>
      </w:pPr>
    </w:p>
    <w:p w:rsidR="00D648CA" w:rsidRDefault="00D648CA" w:rsidP="00267CB0">
      <w:pPr>
        <w:spacing w:after="0" w:line="240" w:lineRule="auto"/>
        <w:rPr>
          <w:rFonts w:ascii="Arial" w:eastAsia="Calibri" w:hAnsi="Arial" w:cs="Arial"/>
          <w:sz w:val="24"/>
          <w:szCs w:val="24"/>
        </w:rPr>
      </w:pPr>
    </w:p>
    <w:p w:rsidR="00D648CA" w:rsidRDefault="00D648CA" w:rsidP="00267CB0">
      <w:pPr>
        <w:spacing w:after="0" w:line="240" w:lineRule="auto"/>
        <w:rPr>
          <w:rFonts w:ascii="Arial" w:eastAsia="Calibri" w:hAnsi="Arial" w:cs="Arial"/>
          <w:sz w:val="24"/>
          <w:szCs w:val="24"/>
        </w:rPr>
      </w:pP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Croydon residents whose day to day activities were limited by a long-term illness or disability reported poorer general health than those whose activities were not limited.</w:t>
      </w:r>
    </w:p>
    <w:p w:rsidR="00D648CA" w:rsidRDefault="00D648CA" w:rsidP="006A31AE">
      <w:pPr>
        <w:spacing w:after="200" w:line="276" w:lineRule="auto"/>
        <w:rPr>
          <w:rFonts w:ascii="Arial" w:eastAsia="Calibri" w:hAnsi="Arial" w:cs="Arial"/>
          <w:sz w:val="24"/>
          <w:szCs w:val="24"/>
        </w:rPr>
      </w:pP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 xml:space="preserve">The proportion of people whose day to day activities were limited a lot who reported bad or very bad health was slightly lower than the national average at 51.9% compared to 53.2% across England. </w:t>
      </w:r>
    </w:p>
    <w:p w:rsidR="006A31AE" w:rsidRPr="00CF633E" w:rsidRDefault="006A31AE" w:rsidP="00600C44">
      <w:pPr>
        <w:spacing w:after="0" w:line="240" w:lineRule="auto"/>
        <w:rPr>
          <w:rFonts w:ascii="Arial" w:eastAsia="Calibri" w:hAnsi="Arial" w:cs="Arial"/>
          <w:sz w:val="24"/>
          <w:szCs w:val="24"/>
          <w:u w:val="single"/>
        </w:rPr>
      </w:pPr>
      <w:r w:rsidRPr="00CF633E">
        <w:rPr>
          <w:rFonts w:ascii="Arial" w:eastAsia="Calibri" w:hAnsi="Arial" w:cs="Arial"/>
          <w:sz w:val="24"/>
          <w:szCs w:val="24"/>
          <w:u w:val="single"/>
        </w:rPr>
        <w:t>Figure 3 – General health by long term limiting illness or disability</w:t>
      </w:r>
    </w:p>
    <w:p w:rsidR="006A31AE" w:rsidRPr="006A31AE" w:rsidRDefault="006A31AE" w:rsidP="00600C44">
      <w:pPr>
        <w:spacing w:after="0" w:line="240" w:lineRule="auto"/>
        <w:rPr>
          <w:rFonts w:ascii="Arial" w:eastAsia="Calibri" w:hAnsi="Arial" w:cs="Arial"/>
          <w:sz w:val="24"/>
          <w:szCs w:val="24"/>
        </w:rPr>
      </w:pPr>
      <w:r w:rsidRPr="006A31AE">
        <w:rPr>
          <w:rFonts w:ascii="Arial" w:eastAsia="Calibri" w:hAnsi="Arial" w:cs="Arial"/>
          <w:noProof/>
          <w:sz w:val="24"/>
          <w:szCs w:val="24"/>
          <w:lang w:eastAsia="en-GB"/>
        </w:rPr>
        <w:drawing>
          <wp:inline distT="0" distB="0" distL="0" distR="0" wp14:anchorId="7C55315C" wp14:editId="6B539B44">
            <wp:extent cx="3840480" cy="2834305"/>
            <wp:effectExtent l="0" t="0" r="7620" b="4445"/>
            <wp:docPr id="41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7" cstate="print"/>
                    <a:srcRect/>
                    <a:stretch>
                      <a:fillRect/>
                    </a:stretch>
                  </pic:blipFill>
                  <pic:spPr bwMode="auto">
                    <a:xfrm>
                      <a:off x="0" y="0"/>
                      <a:ext cx="3896542" cy="2875679"/>
                    </a:xfrm>
                    <a:prstGeom prst="rect">
                      <a:avLst/>
                    </a:prstGeom>
                    <a:noFill/>
                  </pic:spPr>
                </pic:pic>
              </a:graphicData>
            </a:graphic>
          </wp:inline>
        </w:drawing>
      </w:r>
    </w:p>
    <w:p w:rsidR="006A31AE" w:rsidRPr="00600C44" w:rsidRDefault="006A31AE" w:rsidP="00AD38B1">
      <w:pPr>
        <w:spacing w:before="120" w:after="0" w:line="240" w:lineRule="auto"/>
        <w:rPr>
          <w:rFonts w:ascii="Arial" w:eastAsia="Calibri" w:hAnsi="Arial" w:cs="Arial"/>
          <w:sz w:val="20"/>
          <w:szCs w:val="20"/>
        </w:rPr>
      </w:pPr>
      <w:r w:rsidRPr="00600C44">
        <w:rPr>
          <w:rFonts w:ascii="Arial" w:eastAsia="Calibri" w:hAnsi="Arial" w:cs="Arial"/>
          <w:sz w:val="20"/>
          <w:szCs w:val="20"/>
        </w:rPr>
        <w:t>Source: ONS Census 2011 Table LC3302EW</w:t>
      </w:r>
    </w:p>
    <w:p w:rsidR="006A31AE" w:rsidRDefault="006A31AE" w:rsidP="00AD38B1">
      <w:pPr>
        <w:spacing w:before="120" w:after="200" w:line="276" w:lineRule="auto"/>
        <w:rPr>
          <w:rFonts w:ascii="Arial" w:eastAsia="Calibri" w:hAnsi="Arial" w:cs="Arial"/>
          <w:sz w:val="24"/>
          <w:szCs w:val="24"/>
        </w:rPr>
      </w:pPr>
    </w:p>
    <w:p w:rsidR="00E874F1" w:rsidRDefault="00D648CA" w:rsidP="006A31AE">
      <w:pPr>
        <w:spacing w:after="200" w:line="276" w:lineRule="auto"/>
        <w:rPr>
          <w:rFonts w:ascii="Arial" w:eastAsia="Calibri" w:hAnsi="Arial" w:cs="Arial"/>
          <w:sz w:val="24"/>
          <w:szCs w:val="24"/>
        </w:rPr>
      </w:pPr>
      <w:r>
        <w:rPr>
          <w:rFonts w:ascii="Arial" w:eastAsia="Calibri" w:hAnsi="Arial" w:cs="Arial"/>
          <w:sz w:val="24"/>
          <w:szCs w:val="24"/>
        </w:rPr>
        <w:t xml:space="preserve">In Croydon, </w:t>
      </w:r>
      <w:r w:rsidR="006A31AE" w:rsidRPr="006A31AE">
        <w:rPr>
          <w:rFonts w:ascii="Arial" w:eastAsia="Calibri" w:hAnsi="Arial" w:cs="Arial"/>
          <w:sz w:val="24"/>
          <w:szCs w:val="24"/>
        </w:rPr>
        <w:t>36.4% of people whose day to day activities were limited a little reported very good or good health</w:t>
      </w:r>
      <w:r>
        <w:rPr>
          <w:rFonts w:ascii="Arial" w:eastAsia="Calibri" w:hAnsi="Arial" w:cs="Arial"/>
          <w:sz w:val="24"/>
          <w:szCs w:val="24"/>
        </w:rPr>
        <w:t xml:space="preserve"> </w:t>
      </w:r>
      <w:r w:rsidR="006A31AE" w:rsidRPr="006A31AE">
        <w:rPr>
          <w:rFonts w:ascii="Arial" w:eastAsia="Calibri" w:hAnsi="Arial" w:cs="Arial"/>
          <w:sz w:val="24"/>
          <w:szCs w:val="24"/>
        </w:rPr>
        <w:t xml:space="preserve">which was similar to the national figure of 36.2%.  The proportion </w:t>
      </w:r>
      <w:r>
        <w:rPr>
          <w:rFonts w:ascii="Arial" w:eastAsia="Calibri" w:hAnsi="Arial" w:cs="Arial"/>
          <w:sz w:val="24"/>
          <w:szCs w:val="24"/>
        </w:rPr>
        <w:t>who reported b</w:t>
      </w:r>
      <w:r w:rsidR="006A31AE" w:rsidRPr="006A31AE">
        <w:rPr>
          <w:rFonts w:ascii="Arial" w:eastAsia="Calibri" w:hAnsi="Arial" w:cs="Arial"/>
          <w:sz w:val="24"/>
          <w:szCs w:val="24"/>
        </w:rPr>
        <w:t>ad or very bad health was slightly higher at 10.6% compared t</w:t>
      </w:r>
      <w:r>
        <w:rPr>
          <w:rFonts w:ascii="Arial" w:eastAsia="Calibri" w:hAnsi="Arial" w:cs="Arial"/>
          <w:sz w:val="24"/>
          <w:szCs w:val="24"/>
        </w:rPr>
        <w:t>o the national average of 9.2%.</w:t>
      </w:r>
    </w:p>
    <w:p w:rsidR="00D648CA" w:rsidRPr="006A31AE" w:rsidRDefault="00D648CA" w:rsidP="006A31AE">
      <w:pPr>
        <w:spacing w:after="200" w:line="276" w:lineRule="auto"/>
        <w:rPr>
          <w:rFonts w:ascii="Arial" w:eastAsia="Calibri" w:hAnsi="Arial" w:cs="Arial"/>
          <w:sz w:val="24"/>
          <w:szCs w:val="24"/>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bookmarkStart w:id="20" w:name="_Children_and_young"/>
      <w:bookmarkEnd w:id="20"/>
      <w:r w:rsidRPr="006A31AE">
        <w:rPr>
          <w:rFonts w:ascii="Arial" w:eastAsia="Times New Roman" w:hAnsi="Arial" w:cs="Arial"/>
          <w:b/>
          <w:bCs/>
          <w:color w:val="701471"/>
          <w:sz w:val="28"/>
          <w:szCs w:val="24"/>
          <w:lang w:eastAsia="en-GB"/>
        </w:rPr>
        <w:t>Children and young people’s health</w:t>
      </w:r>
    </w:p>
    <w:p w:rsidR="006A31AE" w:rsidRPr="006A31AE" w:rsidRDefault="006A31AE" w:rsidP="006A31AE">
      <w:pPr>
        <w:spacing w:after="0" w:line="276" w:lineRule="auto"/>
        <w:rPr>
          <w:rFonts w:ascii="Arial" w:eastAsia="Calibri" w:hAnsi="Arial" w:cs="Arial"/>
          <w:sz w:val="24"/>
          <w:szCs w:val="24"/>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Low birth weight</w:t>
      </w:r>
    </w:p>
    <w:p w:rsidR="00D3791A" w:rsidRDefault="00D3791A" w:rsidP="00D3791A">
      <w:pPr>
        <w:spacing w:after="0"/>
        <w:rPr>
          <w:rFonts w:ascii="Arial" w:eastAsia="Calibri" w:hAnsi="Arial" w:cs="Arial"/>
          <w:sz w:val="24"/>
          <w:szCs w:val="24"/>
          <w:lang w:eastAsia="en-GB"/>
        </w:rPr>
      </w:pPr>
    </w:p>
    <w:p w:rsidR="006A31AE" w:rsidRPr="00D3791A" w:rsidRDefault="00D3791A" w:rsidP="006A31AE">
      <w:pPr>
        <w:spacing w:after="0"/>
        <w:rPr>
          <w:rFonts w:ascii="Arial" w:eastAsia="Calibri" w:hAnsi="Arial" w:cs="Arial"/>
          <w:sz w:val="24"/>
          <w:szCs w:val="24"/>
          <w:lang w:eastAsia="en-GB"/>
        </w:rPr>
      </w:pPr>
      <w:r w:rsidRPr="006A31AE">
        <w:rPr>
          <w:rFonts w:ascii="Arial" w:eastAsia="Calibri" w:hAnsi="Arial" w:cs="Arial"/>
          <w:sz w:val="24"/>
          <w:szCs w:val="24"/>
          <w:lang w:eastAsia="en-GB"/>
        </w:rPr>
        <w:t>Low birth rate is classified as any weight less than 2,500 grams.</w:t>
      </w:r>
      <w:r w:rsidR="0006301F">
        <w:rPr>
          <w:rFonts w:ascii="Arial" w:eastAsia="Calibri" w:hAnsi="Arial" w:cs="Arial"/>
          <w:sz w:val="24"/>
          <w:szCs w:val="24"/>
          <w:lang w:eastAsia="en-GB"/>
        </w:rPr>
        <w:t xml:space="preserve">  </w:t>
      </w:r>
      <w:r w:rsidRPr="00D3791A">
        <w:rPr>
          <w:rFonts w:ascii="Arial" w:eastAsia="Calibri" w:hAnsi="Arial" w:cs="Arial"/>
          <w:sz w:val="24"/>
          <w:szCs w:val="24"/>
          <w:lang w:eastAsia="en-GB"/>
        </w:rPr>
        <w:t>The Public Health Profile for 2016 shows that the</w:t>
      </w:r>
      <w:r w:rsidR="006A31AE" w:rsidRPr="00D3791A">
        <w:rPr>
          <w:rFonts w:ascii="Arial" w:eastAsia="Calibri" w:hAnsi="Arial" w:cs="Arial"/>
          <w:sz w:val="24"/>
          <w:szCs w:val="24"/>
          <w:lang w:eastAsia="en-GB"/>
        </w:rPr>
        <w:t xml:space="preserve"> percentage </w:t>
      </w:r>
      <w:r w:rsidR="006E7BA7">
        <w:rPr>
          <w:rFonts w:ascii="Arial" w:eastAsia="Calibri" w:hAnsi="Arial" w:cs="Arial"/>
          <w:sz w:val="24"/>
          <w:szCs w:val="24"/>
          <w:lang w:eastAsia="en-GB"/>
        </w:rPr>
        <w:t xml:space="preserve">in Croydon was </w:t>
      </w:r>
      <w:r w:rsidRPr="00D3791A">
        <w:rPr>
          <w:rFonts w:ascii="Arial" w:eastAsia="Calibri" w:hAnsi="Arial" w:cs="Arial"/>
          <w:sz w:val="24"/>
          <w:szCs w:val="24"/>
          <w:lang w:eastAsia="en-GB"/>
        </w:rPr>
        <w:t>2.96</w:t>
      </w:r>
      <w:r w:rsidR="006A31AE" w:rsidRPr="00D3791A">
        <w:rPr>
          <w:rFonts w:ascii="Arial" w:eastAsia="Calibri" w:hAnsi="Arial" w:cs="Arial"/>
          <w:sz w:val="24"/>
          <w:szCs w:val="24"/>
          <w:lang w:eastAsia="en-GB"/>
        </w:rPr>
        <w:t xml:space="preserve">% </w:t>
      </w:r>
      <w:r w:rsidRPr="00D3791A">
        <w:rPr>
          <w:rFonts w:ascii="Arial" w:eastAsia="Calibri" w:hAnsi="Arial" w:cs="Arial"/>
          <w:sz w:val="24"/>
          <w:szCs w:val="24"/>
          <w:lang w:eastAsia="en-GB"/>
        </w:rPr>
        <w:t xml:space="preserve">which was </w:t>
      </w:r>
      <w:r w:rsidR="006A31AE" w:rsidRPr="00D3791A">
        <w:rPr>
          <w:rFonts w:ascii="Arial" w:eastAsia="Calibri" w:hAnsi="Arial" w:cs="Arial"/>
          <w:sz w:val="24"/>
          <w:szCs w:val="24"/>
          <w:lang w:eastAsia="en-GB"/>
        </w:rPr>
        <w:t>similar to the national average of 2.</w:t>
      </w:r>
      <w:r w:rsidRPr="00D3791A">
        <w:rPr>
          <w:rFonts w:ascii="Arial" w:eastAsia="Calibri" w:hAnsi="Arial" w:cs="Arial"/>
          <w:sz w:val="24"/>
          <w:szCs w:val="24"/>
          <w:lang w:eastAsia="en-GB"/>
        </w:rPr>
        <w:t xml:space="preserve">79%. </w:t>
      </w:r>
      <w:r w:rsidR="006A31AE" w:rsidRPr="00D3791A">
        <w:rPr>
          <w:rFonts w:ascii="Arial" w:eastAsia="Calibri" w:hAnsi="Arial" w:cs="Arial"/>
          <w:sz w:val="24"/>
          <w:szCs w:val="24"/>
          <w:lang w:eastAsia="en-GB"/>
        </w:rPr>
        <w:t xml:space="preserve">Across London </w:t>
      </w:r>
      <w:r w:rsidRPr="00D3791A">
        <w:rPr>
          <w:rFonts w:ascii="Arial" w:eastAsia="Calibri" w:hAnsi="Arial" w:cs="Arial"/>
          <w:sz w:val="24"/>
          <w:szCs w:val="24"/>
          <w:lang w:eastAsia="en-GB"/>
        </w:rPr>
        <w:t>the figure for 2016 was also 3.01</w:t>
      </w:r>
      <w:r w:rsidR="006A31AE" w:rsidRPr="00D3791A">
        <w:rPr>
          <w:rFonts w:ascii="Arial" w:eastAsia="Calibri" w:hAnsi="Arial" w:cs="Arial"/>
          <w:sz w:val="24"/>
          <w:szCs w:val="24"/>
          <w:lang w:eastAsia="en-GB"/>
        </w:rPr>
        <w:t>%.</w:t>
      </w:r>
    </w:p>
    <w:p w:rsidR="006A31AE" w:rsidRDefault="006A31AE" w:rsidP="006A31AE">
      <w:pPr>
        <w:spacing w:after="0"/>
        <w:rPr>
          <w:rFonts w:ascii="Arial" w:eastAsia="Calibri" w:hAnsi="Arial" w:cs="Arial"/>
          <w:sz w:val="24"/>
          <w:szCs w:val="24"/>
          <w:lang w:eastAsia="en-GB"/>
        </w:rPr>
      </w:pPr>
    </w:p>
    <w:p w:rsidR="00D648CA" w:rsidRDefault="00D648CA" w:rsidP="006A31AE">
      <w:pPr>
        <w:spacing w:after="0"/>
        <w:rPr>
          <w:rFonts w:ascii="Arial" w:eastAsia="Calibri" w:hAnsi="Arial" w:cs="Arial"/>
          <w:sz w:val="24"/>
          <w:szCs w:val="24"/>
          <w:lang w:eastAsia="en-GB"/>
        </w:rPr>
      </w:pPr>
    </w:p>
    <w:p w:rsidR="00D648CA" w:rsidRDefault="00D648CA"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Breastfeeding</w:t>
      </w:r>
    </w:p>
    <w:p w:rsidR="006A31AE" w:rsidRDefault="006A31AE" w:rsidP="006A31AE">
      <w:pPr>
        <w:spacing w:after="0" w:line="276" w:lineRule="auto"/>
        <w:rPr>
          <w:rFonts w:ascii="Arial" w:eastAsia="Calibri" w:hAnsi="Arial" w:cs="Arial"/>
          <w:sz w:val="24"/>
          <w:szCs w:val="24"/>
          <w:lang w:eastAsia="en-GB"/>
        </w:rPr>
      </w:pPr>
    </w:p>
    <w:p w:rsidR="00A729D0" w:rsidRDefault="00A729D0" w:rsidP="00E874F1">
      <w:pPr>
        <w:spacing w:after="0" w:line="240" w:lineRule="auto"/>
        <w:rPr>
          <w:rFonts w:ascii="Arial" w:eastAsia="Calibri" w:hAnsi="Arial" w:cs="Arial"/>
          <w:sz w:val="24"/>
          <w:szCs w:val="24"/>
          <w:lang w:eastAsia="en-GB"/>
        </w:rPr>
      </w:pPr>
      <w:r>
        <w:rPr>
          <w:rFonts w:ascii="Arial" w:eastAsia="Calibri" w:hAnsi="Arial" w:cs="Arial"/>
          <w:sz w:val="24"/>
          <w:szCs w:val="24"/>
          <w:lang w:eastAsia="en-GB"/>
        </w:rPr>
        <w:t>Figure 4 shows that for a number of years, t</w:t>
      </w:r>
      <w:r w:rsidR="006A31AE" w:rsidRPr="00D3791A">
        <w:rPr>
          <w:rFonts w:ascii="Arial" w:eastAsia="Calibri" w:hAnsi="Arial" w:cs="Arial"/>
          <w:sz w:val="24"/>
          <w:szCs w:val="24"/>
          <w:lang w:eastAsia="en-GB"/>
        </w:rPr>
        <w:t xml:space="preserve">he proportion of mothers </w:t>
      </w:r>
      <w:r w:rsidR="00F330AD">
        <w:rPr>
          <w:rFonts w:ascii="Arial" w:eastAsia="Calibri" w:hAnsi="Arial" w:cs="Arial"/>
          <w:sz w:val="24"/>
          <w:szCs w:val="24"/>
          <w:lang w:eastAsia="en-GB"/>
        </w:rPr>
        <w:t xml:space="preserve">who </w:t>
      </w:r>
      <w:r w:rsidR="006A31AE" w:rsidRPr="00D3791A">
        <w:rPr>
          <w:rFonts w:ascii="Arial" w:eastAsia="Calibri" w:hAnsi="Arial" w:cs="Arial"/>
          <w:sz w:val="24"/>
          <w:szCs w:val="24"/>
          <w:lang w:eastAsia="en-GB"/>
        </w:rPr>
        <w:t xml:space="preserve">breastfeed their children at 6-8 weeks from birth in Croydon </w:t>
      </w:r>
      <w:r w:rsidR="007B2CA0">
        <w:rPr>
          <w:rFonts w:ascii="Arial" w:eastAsia="Calibri" w:hAnsi="Arial" w:cs="Arial"/>
          <w:sz w:val="24"/>
          <w:szCs w:val="24"/>
          <w:lang w:eastAsia="en-GB"/>
        </w:rPr>
        <w:t xml:space="preserve">has been far higher than the </w:t>
      </w:r>
      <w:r w:rsidR="006A31AE" w:rsidRPr="00D3791A">
        <w:rPr>
          <w:rFonts w:ascii="Arial" w:eastAsia="Calibri" w:hAnsi="Arial" w:cs="Arial"/>
          <w:sz w:val="24"/>
          <w:szCs w:val="24"/>
          <w:lang w:eastAsia="en-GB"/>
        </w:rPr>
        <w:t>England average</w:t>
      </w:r>
      <w:r w:rsidR="007B2CA0" w:rsidRPr="00D3791A">
        <w:rPr>
          <w:rFonts w:ascii="Arial" w:eastAsia="Calibri" w:hAnsi="Arial" w:cs="Arial"/>
          <w:sz w:val="24"/>
          <w:szCs w:val="24"/>
          <w:vertAlign w:val="superscript"/>
          <w:lang w:eastAsia="en-GB"/>
        </w:rPr>
        <w:footnoteReference w:id="10"/>
      </w:r>
    </w:p>
    <w:p w:rsidR="00A729D0" w:rsidRDefault="00A729D0" w:rsidP="00E874F1">
      <w:pPr>
        <w:spacing w:after="0" w:line="240" w:lineRule="auto"/>
        <w:rPr>
          <w:rFonts w:ascii="Arial" w:eastAsia="Calibri" w:hAnsi="Arial" w:cs="Arial"/>
          <w:sz w:val="24"/>
          <w:szCs w:val="24"/>
          <w:lang w:eastAsia="en-GB"/>
        </w:rPr>
      </w:pPr>
    </w:p>
    <w:p w:rsidR="007B2CA0" w:rsidRPr="00D3791A" w:rsidRDefault="00A729D0" w:rsidP="00E874F1">
      <w:pPr>
        <w:spacing w:after="0" w:line="240" w:lineRule="auto"/>
        <w:rPr>
          <w:rFonts w:ascii="Arial" w:eastAsia="Calibri" w:hAnsi="Arial" w:cs="Arial"/>
          <w:sz w:val="24"/>
          <w:szCs w:val="24"/>
          <w:lang w:eastAsia="en-GB"/>
        </w:rPr>
      </w:pPr>
      <w:r>
        <w:rPr>
          <w:rFonts w:ascii="Arial" w:eastAsia="Calibri" w:hAnsi="Arial" w:cs="Arial"/>
          <w:sz w:val="24"/>
          <w:szCs w:val="24"/>
          <w:lang w:eastAsia="en-GB"/>
        </w:rPr>
        <w:t xml:space="preserve">This measure has </w:t>
      </w:r>
      <w:r w:rsidR="007B2CA0">
        <w:rPr>
          <w:rFonts w:ascii="Arial" w:eastAsia="Calibri" w:hAnsi="Arial" w:cs="Arial"/>
          <w:sz w:val="24"/>
          <w:szCs w:val="24"/>
          <w:lang w:eastAsia="en-GB"/>
        </w:rPr>
        <w:t xml:space="preserve">ceased to be reported at local authority level from 2016/2017 as there have been issues concerning </w:t>
      </w:r>
      <w:r w:rsidR="007B2CA0">
        <w:rPr>
          <w:rFonts w:ascii="Arial" w:eastAsia="Calibri" w:hAnsi="Arial" w:cs="Arial"/>
          <w:sz w:val="24"/>
          <w:szCs w:val="24"/>
          <w:lang w:eastAsia="en-GB"/>
        </w:rPr>
        <w:lastRenderedPageBreak/>
        <w:t>the quality of local data a</w:t>
      </w:r>
      <w:r w:rsidR="00F330AD">
        <w:rPr>
          <w:rFonts w:ascii="Arial" w:eastAsia="Calibri" w:hAnsi="Arial" w:cs="Arial"/>
          <w:sz w:val="24"/>
          <w:szCs w:val="24"/>
          <w:lang w:eastAsia="en-GB"/>
        </w:rPr>
        <w:t>nd</w:t>
      </w:r>
      <w:r w:rsidR="007B2CA0">
        <w:rPr>
          <w:rFonts w:ascii="Arial" w:eastAsia="Calibri" w:hAnsi="Arial" w:cs="Arial"/>
          <w:sz w:val="24"/>
          <w:szCs w:val="24"/>
          <w:lang w:eastAsia="en-GB"/>
        </w:rPr>
        <w:t xml:space="preserve"> data across London. It is now reported to the Primary Care Trust (PCT) and mapped across to the local authority where possible. </w:t>
      </w:r>
    </w:p>
    <w:p w:rsidR="006A31AE" w:rsidRPr="00A729D0" w:rsidRDefault="006A31AE" w:rsidP="00E874F1">
      <w:pPr>
        <w:spacing w:after="0" w:line="240" w:lineRule="auto"/>
        <w:rPr>
          <w:rFonts w:ascii="Arial" w:eastAsia="Calibri" w:hAnsi="Arial" w:cs="Arial"/>
          <w:sz w:val="24"/>
          <w:szCs w:val="24"/>
          <w:lang w:eastAsia="en-GB"/>
        </w:rPr>
      </w:pPr>
    </w:p>
    <w:p w:rsidR="006A31AE" w:rsidRPr="00A729D0" w:rsidRDefault="006A31AE" w:rsidP="00E874F1">
      <w:pPr>
        <w:spacing w:after="0" w:line="240" w:lineRule="auto"/>
        <w:rPr>
          <w:rFonts w:ascii="Arial" w:eastAsia="Calibri" w:hAnsi="Arial" w:cs="Arial"/>
          <w:sz w:val="24"/>
          <w:szCs w:val="24"/>
          <w:u w:val="single"/>
        </w:rPr>
      </w:pPr>
      <w:r w:rsidRPr="00A729D0">
        <w:rPr>
          <w:rFonts w:ascii="Arial" w:eastAsia="Calibri" w:hAnsi="Arial" w:cs="Arial"/>
          <w:sz w:val="24"/>
          <w:szCs w:val="24"/>
          <w:u w:val="single"/>
        </w:rPr>
        <w:t>Figure 4 - Breastfeeding prevalence at 6-8 weeks</w:t>
      </w:r>
    </w:p>
    <w:p w:rsidR="00A729D0" w:rsidRPr="00A729D0" w:rsidRDefault="00A729D0" w:rsidP="00E874F1">
      <w:pPr>
        <w:spacing w:after="0" w:line="240" w:lineRule="auto"/>
        <w:rPr>
          <w:rFonts w:ascii="Arial" w:eastAsia="Calibri" w:hAnsi="Arial" w:cs="Arial"/>
          <w:noProof/>
          <w:sz w:val="24"/>
          <w:szCs w:val="24"/>
          <w:lang w:eastAsia="en-GB"/>
        </w:rPr>
      </w:pPr>
      <w:r>
        <w:rPr>
          <w:noProof/>
          <w:lang w:eastAsia="en-GB"/>
        </w:rPr>
        <w:drawing>
          <wp:inline distT="0" distB="0" distL="0" distR="0" wp14:anchorId="4EFC90A1" wp14:editId="65838BFA">
            <wp:extent cx="3942080" cy="2575560"/>
            <wp:effectExtent l="0" t="0" r="1270" b="15240"/>
            <wp:docPr id="13931" name="Chart 139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rsidR="006A31AE" w:rsidRPr="00A729D0" w:rsidRDefault="006A31AE" w:rsidP="00E874F1">
      <w:pPr>
        <w:spacing w:after="0" w:line="240" w:lineRule="auto"/>
        <w:rPr>
          <w:rFonts w:ascii="Arial" w:eastAsia="Calibri" w:hAnsi="Arial" w:cs="Arial"/>
          <w:sz w:val="24"/>
          <w:szCs w:val="24"/>
          <w:lang w:eastAsia="en-GB"/>
        </w:rPr>
      </w:pPr>
      <w:r w:rsidRPr="00A729D0">
        <w:rPr>
          <w:rFonts w:ascii="Arial" w:eastAsia="Calibri" w:hAnsi="Arial" w:cs="Arial"/>
          <w:sz w:val="20"/>
          <w:szCs w:val="20"/>
          <w:lang w:eastAsia="en-GB"/>
        </w:rPr>
        <w:t>Source: PHE Public Health Outcomes Framework Tool</w:t>
      </w:r>
    </w:p>
    <w:p w:rsidR="006A31AE" w:rsidRDefault="006A31AE" w:rsidP="00E874F1">
      <w:pPr>
        <w:spacing w:after="0" w:line="240" w:lineRule="auto"/>
        <w:outlineLvl w:val="1"/>
        <w:rPr>
          <w:rFonts w:ascii="Arial" w:eastAsia="Times New Roman" w:hAnsi="Arial" w:cs="Arial"/>
          <w:b/>
          <w:bCs/>
          <w:color w:val="00B050"/>
          <w:sz w:val="28"/>
          <w:szCs w:val="24"/>
          <w:lang w:eastAsia="en-GB"/>
        </w:rPr>
      </w:pPr>
    </w:p>
    <w:p w:rsidR="00D648CA" w:rsidRDefault="00D648CA" w:rsidP="00E874F1">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E874F1">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Immunisations</w:t>
      </w:r>
    </w:p>
    <w:p w:rsidR="006A31AE" w:rsidRPr="006A31AE" w:rsidRDefault="006A31AE" w:rsidP="00E874F1">
      <w:pPr>
        <w:spacing w:after="0" w:line="240" w:lineRule="auto"/>
        <w:rPr>
          <w:rFonts w:ascii="Arial" w:eastAsia="Calibri" w:hAnsi="Arial" w:cs="Arial"/>
          <w:sz w:val="24"/>
          <w:szCs w:val="24"/>
          <w:lang w:eastAsia="en-GB"/>
        </w:rPr>
      </w:pPr>
    </w:p>
    <w:p w:rsidR="006A31AE" w:rsidRDefault="006A31AE" w:rsidP="00E874F1">
      <w:pPr>
        <w:spacing w:after="0" w:line="240" w:lineRule="auto"/>
        <w:rPr>
          <w:rFonts w:ascii="Arial" w:eastAsia="Calibri" w:hAnsi="Arial" w:cs="Arial"/>
          <w:sz w:val="24"/>
          <w:szCs w:val="24"/>
          <w:lang w:eastAsia="en-GB"/>
        </w:rPr>
      </w:pPr>
      <w:r w:rsidRPr="006A31AE">
        <w:rPr>
          <w:rFonts w:ascii="Arial" w:eastAsia="Calibri" w:hAnsi="Arial" w:cs="Arial"/>
          <w:sz w:val="24"/>
          <w:szCs w:val="24"/>
          <w:lang w:eastAsia="en-GB"/>
        </w:rPr>
        <w:t>In 201</w:t>
      </w:r>
      <w:r w:rsidR="00972429">
        <w:rPr>
          <w:rFonts w:ascii="Arial" w:eastAsia="Calibri" w:hAnsi="Arial" w:cs="Arial"/>
          <w:sz w:val="24"/>
          <w:szCs w:val="24"/>
          <w:lang w:eastAsia="en-GB"/>
        </w:rPr>
        <w:t>7</w:t>
      </w:r>
      <w:r w:rsidRPr="006A31AE">
        <w:rPr>
          <w:rFonts w:ascii="Arial" w:eastAsia="Calibri" w:hAnsi="Arial" w:cs="Arial"/>
          <w:sz w:val="24"/>
          <w:szCs w:val="24"/>
          <w:lang w:eastAsia="en-GB"/>
        </w:rPr>
        <w:t>/201</w:t>
      </w:r>
      <w:r w:rsidR="00972429">
        <w:rPr>
          <w:rFonts w:ascii="Arial" w:eastAsia="Calibri" w:hAnsi="Arial" w:cs="Arial"/>
          <w:sz w:val="24"/>
          <w:szCs w:val="24"/>
          <w:lang w:eastAsia="en-GB"/>
        </w:rPr>
        <w:t>8</w:t>
      </w:r>
      <w:r w:rsidRPr="006A31AE">
        <w:rPr>
          <w:rFonts w:ascii="Arial" w:eastAsia="Calibri" w:hAnsi="Arial" w:cs="Arial"/>
          <w:sz w:val="24"/>
          <w:szCs w:val="24"/>
          <w:lang w:eastAsia="en-GB"/>
        </w:rPr>
        <w:t xml:space="preserve">, childhood immunisation rates in Croydon remained statistically lower than </w:t>
      </w:r>
      <w:r w:rsidR="00077728">
        <w:rPr>
          <w:rFonts w:ascii="Arial" w:eastAsia="Calibri" w:hAnsi="Arial" w:cs="Arial"/>
          <w:sz w:val="24"/>
          <w:szCs w:val="24"/>
          <w:lang w:eastAsia="en-GB"/>
        </w:rPr>
        <w:t xml:space="preserve">both the London average and the </w:t>
      </w:r>
      <w:r w:rsidRPr="006A31AE">
        <w:rPr>
          <w:rFonts w:ascii="Arial" w:eastAsia="Calibri" w:hAnsi="Arial" w:cs="Arial"/>
          <w:sz w:val="24"/>
          <w:szCs w:val="24"/>
          <w:lang w:eastAsia="en-GB"/>
        </w:rPr>
        <w:t xml:space="preserve">England average for all immunisations. </w:t>
      </w:r>
      <w:r w:rsidR="00077728">
        <w:rPr>
          <w:rFonts w:ascii="Arial" w:eastAsia="Calibri" w:hAnsi="Arial" w:cs="Arial"/>
          <w:sz w:val="24"/>
          <w:szCs w:val="24"/>
          <w:lang w:eastAsia="en-GB"/>
        </w:rPr>
        <w:t xml:space="preserve"> For the year, C</w:t>
      </w:r>
      <w:r w:rsidRPr="006A31AE">
        <w:rPr>
          <w:rFonts w:ascii="Arial" w:eastAsia="Calibri" w:hAnsi="Arial" w:cs="Arial"/>
          <w:sz w:val="24"/>
          <w:szCs w:val="24"/>
          <w:lang w:eastAsia="en-GB"/>
        </w:rPr>
        <w:t xml:space="preserve">roydon </w:t>
      </w:r>
      <w:r w:rsidR="00077728">
        <w:rPr>
          <w:rFonts w:ascii="Arial" w:eastAsia="Calibri" w:hAnsi="Arial" w:cs="Arial"/>
          <w:sz w:val="24"/>
          <w:szCs w:val="24"/>
          <w:lang w:eastAsia="en-GB"/>
        </w:rPr>
        <w:t xml:space="preserve">failed to meet a single child immunisation national target set at </w:t>
      </w:r>
      <w:r w:rsidRPr="006A31AE">
        <w:rPr>
          <w:rFonts w:ascii="Arial" w:eastAsia="Calibri" w:hAnsi="Arial" w:cs="Arial"/>
          <w:sz w:val="24"/>
          <w:szCs w:val="24"/>
          <w:lang w:eastAsia="en-GB"/>
        </w:rPr>
        <w:t>90% coverage</w:t>
      </w:r>
      <w:r w:rsidR="00077728">
        <w:rPr>
          <w:rFonts w:ascii="Arial" w:eastAsia="Calibri" w:hAnsi="Arial" w:cs="Arial"/>
          <w:sz w:val="24"/>
          <w:szCs w:val="24"/>
          <w:lang w:eastAsia="en-GB"/>
        </w:rPr>
        <w:t>.</w:t>
      </w:r>
      <w:r w:rsidRPr="006A31AE">
        <w:rPr>
          <w:rFonts w:ascii="Arial" w:eastAsia="Calibri" w:hAnsi="Arial" w:cs="Arial"/>
          <w:sz w:val="24"/>
          <w:szCs w:val="24"/>
          <w:vertAlign w:val="superscript"/>
          <w:lang w:eastAsia="en-GB"/>
        </w:rPr>
        <w:footnoteReference w:id="11"/>
      </w:r>
    </w:p>
    <w:p w:rsidR="00F330AD" w:rsidRDefault="00F330AD" w:rsidP="00335B9E">
      <w:pPr>
        <w:spacing w:after="0" w:line="240" w:lineRule="auto"/>
        <w:rPr>
          <w:rFonts w:ascii="Arial" w:eastAsia="Calibri" w:hAnsi="Arial" w:cs="Arial"/>
          <w:sz w:val="24"/>
          <w:szCs w:val="24"/>
          <w:u w:val="single"/>
          <w:lang w:eastAsia="en-GB"/>
        </w:rPr>
      </w:pPr>
    </w:p>
    <w:p w:rsidR="006A31AE" w:rsidRPr="00CF633E" w:rsidRDefault="006A31AE" w:rsidP="00335B9E">
      <w:pPr>
        <w:spacing w:after="0" w:line="240" w:lineRule="auto"/>
        <w:rPr>
          <w:rFonts w:ascii="Arial" w:eastAsia="Calibri" w:hAnsi="Arial" w:cs="Arial"/>
          <w:sz w:val="24"/>
          <w:szCs w:val="24"/>
          <w:u w:val="single"/>
          <w:lang w:eastAsia="en-GB"/>
        </w:rPr>
      </w:pPr>
      <w:r w:rsidRPr="00CF633E">
        <w:rPr>
          <w:rFonts w:ascii="Arial" w:eastAsia="Calibri" w:hAnsi="Arial" w:cs="Arial"/>
          <w:sz w:val="24"/>
          <w:szCs w:val="24"/>
          <w:u w:val="single"/>
          <w:lang w:eastAsia="en-GB"/>
        </w:rPr>
        <w:t>Table 1 – Coverage of childhood immunisations,201</w:t>
      </w:r>
      <w:r w:rsidR="00972429">
        <w:rPr>
          <w:rFonts w:ascii="Arial" w:eastAsia="Calibri" w:hAnsi="Arial" w:cs="Arial"/>
          <w:sz w:val="24"/>
          <w:szCs w:val="24"/>
          <w:u w:val="single"/>
          <w:lang w:eastAsia="en-GB"/>
        </w:rPr>
        <w:t>7</w:t>
      </w:r>
      <w:r w:rsidRPr="00CF633E">
        <w:rPr>
          <w:rFonts w:ascii="Arial" w:eastAsia="Calibri" w:hAnsi="Arial" w:cs="Arial"/>
          <w:sz w:val="24"/>
          <w:szCs w:val="24"/>
          <w:u w:val="single"/>
          <w:lang w:eastAsia="en-GB"/>
        </w:rPr>
        <w:t>/201</w:t>
      </w:r>
      <w:r w:rsidR="00972429">
        <w:rPr>
          <w:rFonts w:ascii="Arial" w:eastAsia="Calibri" w:hAnsi="Arial" w:cs="Arial"/>
          <w:sz w:val="24"/>
          <w:szCs w:val="24"/>
          <w:u w:val="single"/>
          <w:lang w:eastAsia="en-GB"/>
        </w:rPr>
        <w:t>8</w:t>
      </w:r>
    </w:p>
    <w:tbl>
      <w:tblPr>
        <w:tblW w:w="6752" w:type="dxa"/>
        <w:tblInd w:w="93"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3720"/>
        <w:gridCol w:w="1048"/>
        <w:gridCol w:w="960"/>
        <w:gridCol w:w="1024"/>
      </w:tblGrid>
      <w:tr w:rsidR="00972429" w:rsidRPr="006A31AE" w:rsidTr="00972429">
        <w:trPr>
          <w:cantSplit/>
          <w:trHeight w:val="300"/>
        </w:trPr>
        <w:tc>
          <w:tcPr>
            <w:tcW w:w="3720" w:type="dxa"/>
            <w:tcBorders>
              <w:top w:val="single" w:sz="12" w:space="0" w:color="auto"/>
              <w:left w:val="single" w:sz="12" w:space="0" w:color="auto"/>
              <w:bottom w:val="single" w:sz="12" w:space="0" w:color="auto"/>
              <w:right w:val="single" w:sz="12" w:space="0" w:color="auto"/>
            </w:tcBorders>
            <w:shd w:val="clear" w:color="auto" w:fill="auto"/>
            <w:noWrap/>
            <w:vAlign w:val="center"/>
            <w:hideMark/>
          </w:tcPr>
          <w:p w:rsidR="00972429" w:rsidRDefault="00972429" w:rsidP="00972429">
            <w:pPr>
              <w:rPr>
                <w:rFonts w:ascii="Arial" w:hAnsi="Arial" w:cs="Arial"/>
                <w:color w:val="000000"/>
              </w:rPr>
            </w:pPr>
            <w:r>
              <w:rPr>
                <w:rFonts w:ascii="Arial" w:hAnsi="Arial" w:cs="Arial"/>
                <w:color w:val="000000"/>
              </w:rPr>
              <w:t> </w:t>
            </w:r>
          </w:p>
        </w:tc>
        <w:tc>
          <w:tcPr>
            <w:tcW w:w="1048" w:type="dxa"/>
            <w:tcBorders>
              <w:top w:val="single" w:sz="12" w:space="0" w:color="auto"/>
              <w:left w:val="nil"/>
              <w:bottom w:val="single" w:sz="12"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Croydon</w:t>
            </w:r>
          </w:p>
        </w:tc>
        <w:tc>
          <w:tcPr>
            <w:tcW w:w="960" w:type="dxa"/>
            <w:tcBorders>
              <w:top w:val="single" w:sz="12" w:space="0" w:color="auto"/>
              <w:left w:val="nil"/>
              <w:bottom w:val="single" w:sz="12"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London</w:t>
            </w:r>
          </w:p>
        </w:tc>
        <w:tc>
          <w:tcPr>
            <w:tcW w:w="1024" w:type="dxa"/>
            <w:tcBorders>
              <w:top w:val="single" w:sz="12" w:space="0" w:color="auto"/>
              <w:left w:val="nil"/>
              <w:bottom w:val="single" w:sz="12" w:space="0" w:color="auto"/>
              <w:right w:val="single" w:sz="12"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England</w:t>
            </w:r>
          </w:p>
        </w:tc>
      </w:tr>
      <w:tr w:rsidR="00972429" w:rsidRPr="006A31AE" w:rsidTr="00972429">
        <w:trPr>
          <w:cantSplit/>
          <w:trHeight w:val="406"/>
        </w:trPr>
        <w:tc>
          <w:tcPr>
            <w:tcW w:w="3720" w:type="dxa"/>
            <w:tcBorders>
              <w:top w:val="nil"/>
              <w:left w:val="single" w:sz="12" w:space="0" w:color="auto"/>
              <w:bottom w:val="single" w:sz="8" w:space="0" w:color="auto"/>
              <w:right w:val="single" w:sz="12" w:space="0" w:color="auto"/>
            </w:tcBorders>
            <w:shd w:val="clear" w:color="auto" w:fill="auto"/>
            <w:noWrap/>
            <w:vAlign w:val="center"/>
            <w:hideMark/>
          </w:tcPr>
          <w:p w:rsidR="00972429" w:rsidRDefault="00972429" w:rsidP="00972429">
            <w:pPr>
              <w:rPr>
                <w:rFonts w:ascii="Arial" w:hAnsi="Arial" w:cs="Arial"/>
                <w:color w:val="000000"/>
              </w:rPr>
            </w:pPr>
            <w:r>
              <w:rPr>
                <w:rFonts w:ascii="Arial" w:hAnsi="Arial" w:cs="Arial"/>
                <w:color w:val="000000"/>
              </w:rPr>
              <w:t>Dtap/IPV/Hib (1 year old)</w:t>
            </w:r>
          </w:p>
        </w:tc>
        <w:tc>
          <w:tcPr>
            <w:tcW w:w="1048" w:type="dxa"/>
            <w:tcBorders>
              <w:top w:val="nil"/>
              <w:left w:val="nil"/>
              <w:bottom w:val="single" w:sz="8"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86.7%</w:t>
            </w:r>
          </w:p>
        </w:tc>
        <w:tc>
          <w:tcPr>
            <w:tcW w:w="960" w:type="dxa"/>
            <w:tcBorders>
              <w:top w:val="nil"/>
              <w:left w:val="nil"/>
              <w:bottom w:val="single" w:sz="8"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89.2%</w:t>
            </w:r>
          </w:p>
        </w:tc>
        <w:tc>
          <w:tcPr>
            <w:tcW w:w="1024" w:type="dxa"/>
            <w:tcBorders>
              <w:top w:val="nil"/>
              <w:left w:val="nil"/>
              <w:bottom w:val="single" w:sz="8" w:space="0" w:color="auto"/>
              <w:right w:val="single" w:sz="12"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93.1%</w:t>
            </w:r>
          </w:p>
        </w:tc>
      </w:tr>
      <w:tr w:rsidR="00972429" w:rsidRPr="006A31AE" w:rsidTr="00972429">
        <w:trPr>
          <w:cantSplit/>
          <w:trHeight w:val="406"/>
        </w:trPr>
        <w:tc>
          <w:tcPr>
            <w:tcW w:w="3720" w:type="dxa"/>
            <w:tcBorders>
              <w:top w:val="nil"/>
              <w:left w:val="single" w:sz="12" w:space="0" w:color="auto"/>
              <w:bottom w:val="single" w:sz="8" w:space="0" w:color="auto"/>
              <w:right w:val="single" w:sz="12" w:space="0" w:color="auto"/>
            </w:tcBorders>
            <w:shd w:val="clear" w:color="auto" w:fill="auto"/>
            <w:noWrap/>
            <w:vAlign w:val="center"/>
            <w:hideMark/>
          </w:tcPr>
          <w:p w:rsidR="00972429" w:rsidRDefault="00972429" w:rsidP="00972429">
            <w:pPr>
              <w:rPr>
                <w:rFonts w:ascii="Arial" w:hAnsi="Arial" w:cs="Arial"/>
                <w:color w:val="000000"/>
              </w:rPr>
            </w:pPr>
            <w:r>
              <w:rPr>
                <w:rFonts w:ascii="Arial" w:hAnsi="Arial" w:cs="Arial"/>
                <w:color w:val="000000"/>
              </w:rPr>
              <w:t>Dtap/IPV/Hib (2 years old)</w:t>
            </w:r>
          </w:p>
        </w:tc>
        <w:tc>
          <w:tcPr>
            <w:tcW w:w="1048" w:type="dxa"/>
            <w:tcBorders>
              <w:top w:val="nil"/>
              <w:left w:val="nil"/>
              <w:bottom w:val="single" w:sz="8"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88.8%</w:t>
            </w:r>
          </w:p>
        </w:tc>
        <w:tc>
          <w:tcPr>
            <w:tcW w:w="960" w:type="dxa"/>
            <w:tcBorders>
              <w:top w:val="nil"/>
              <w:left w:val="nil"/>
              <w:bottom w:val="single" w:sz="8"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91.7%</w:t>
            </w:r>
          </w:p>
        </w:tc>
        <w:tc>
          <w:tcPr>
            <w:tcW w:w="1024" w:type="dxa"/>
            <w:tcBorders>
              <w:top w:val="nil"/>
              <w:left w:val="nil"/>
              <w:bottom w:val="single" w:sz="8" w:space="0" w:color="auto"/>
              <w:right w:val="single" w:sz="12"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95.1%</w:t>
            </w:r>
          </w:p>
        </w:tc>
      </w:tr>
      <w:tr w:rsidR="00972429" w:rsidRPr="006A31AE" w:rsidTr="00972429">
        <w:trPr>
          <w:cantSplit/>
          <w:trHeight w:val="406"/>
        </w:trPr>
        <w:tc>
          <w:tcPr>
            <w:tcW w:w="3720" w:type="dxa"/>
            <w:tcBorders>
              <w:top w:val="nil"/>
              <w:left w:val="single" w:sz="12" w:space="0" w:color="auto"/>
              <w:bottom w:val="single" w:sz="8" w:space="0" w:color="auto"/>
              <w:right w:val="single" w:sz="12" w:space="0" w:color="auto"/>
            </w:tcBorders>
            <w:shd w:val="clear" w:color="auto" w:fill="auto"/>
            <w:noWrap/>
            <w:vAlign w:val="center"/>
            <w:hideMark/>
          </w:tcPr>
          <w:p w:rsidR="00972429" w:rsidRDefault="00972429" w:rsidP="00972429">
            <w:pPr>
              <w:rPr>
                <w:rFonts w:ascii="Arial" w:hAnsi="Arial" w:cs="Arial"/>
                <w:color w:val="000000"/>
              </w:rPr>
            </w:pPr>
            <w:r>
              <w:rPr>
                <w:rFonts w:ascii="Arial" w:hAnsi="Arial" w:cs="Arial"/>
                <w:color w:val="000000"/>
              </w:rPr>
              <w:t>PCV</w:t>
            </w:r>
          </w:p>
        </w:tc>
        <w:tc>
          <w:tcPr>
            <w:tcW w:w="1048" w:type="dxa"/>
            <w:tcBorders>
              <w:top w:val="nil"/>
              <w:left w:val="nil"/>
              <w:bottom w:val="single" w:sz="8"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87.4%</w:t>
            </w:r>
          </w:p>
        </w:tc>
        <w:tc>
          <w:tcPr>
            <w:tcW w:w="960" w:type="dxa"/>
            <w:tcBorders>
              <w:top w:val="nil"/>
              <w:left w:val="nil"/>
              <w:bottom w:val="single" w:sz="8"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89.7%</w:t>
            </w:r>
          </w:p>
        </w:tc>
        <w:tc>
          <w:tcPr>
            <w:tcW w:w="1024" w:type="dxa"/>
            <w:tcBorders>
              <w:top w:val="nil"/>
              <w:left w:val="nil"/>
              <w:bottom w:val="single" w:sz="8" w:space="0" w:color="auto"/>
              <w:right w:val="single" w:sz="12"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93.3%</w:t>
            </w:r>
          </w:p>
        </w:tc>
      </w:tr>
      <w:tr w:rsidR="00972429" w:rsidRPr="006A31AE" w:rsidTr="00972429">
        <w:trPr>
          <w:cantSplit/>
          <w:trHeight w:val="406"/>
        </w:trPr>
        <w:tc>
          <w:tcPr>
            <w:tcW w:w="3720" w:type="dxa"/>
            <w:tcBorders>
              <w:top w:val="nil"/>
              <w:left w:val="single" w:sz="12" w:space="0" w:color="auto"/>
              <w:bottom w:val="single" w:sz="8" w:space="0" w:color="auto"/>
              <w:right w:val="single" w:sz="12" w:space="0" w:color="auto"/>
            </w:tcBorders>
            <w:shd w:val="clear" w:color="auto" w:fill="auto"/>
            <w:noWrap/>
            <w:vAlign w:val="center"/>
            <w:hideMark/>
          </w:tcPr>
          <w:p w:rsidR="00972429" w:rsidRDefault="00972429" w:rsidP="00972429">
            <w:pPr>
              <w:rPr>
                <w:rFonts w:ascii="Arial" w:hAnsi="Arial" w:cs="Arial"/>
                <w:color w:val="000000"/>
              </w:rPr>
            </w:pPr>
            <w:r>
              <w:rPr>
                <w:rFonts w:ascii="Arial" w:hAnsi="Arial" w:cs="Arial"/>
                <w:color w:val="000000"/>
              </w:rPr>
              <w:t>Hib/MenC booster (2 years old)</w:t>
            </w:r>
          </w:p>
        </w:tc>
        <w:tc>
          <w:tcPr>
            <w:tcW w:w="1048" w:type="dxa"/>
            <w:tcBorders>
              <w:top w:val="nil"/>
              <w:left w:val="nil"/>
              <w:bottom w:val="single" w:sz="8"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80.8%</w:t>
            </w:r>
          </w:p>
        </w:tc>
        <w:tc>
          <w:tcPr>
            <w:tcW w:w="960" w:type="dxa"/>
            <w:tcBorders>
              <w:top w:val="nil"/>
              <w:left w:val="nil"/>
              <w:bottom w:val="single" w:sz="8"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85.1%</w:t>
            </w:r>
          </w:p>
        </w:tc>
        <w:tc>
          <w:tcPr>
            <w:tcW w:w="1024" w:type="dxa"/>
            <w:tcBorders>
              <w:top w:val="nil"/>
              <w:left w:val="nil"/>
              <w:bottom w:val="single" w:sz="8" w:space="0" w:color="auto"/>
              <w:right w:val="single" w:sz="12"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91.2%</w:t>
            </w:r>
          </w:p>
        </w:tc>
      </w:tr>
      <w:tr w:rsidR="00972429" w:rsidRPr="006A31AE" w:rsidTr="00972429">
        <w:trPr>
          <w:cantSplit/>
          <w:trHeight w:val="406"/>
        </w:trPr>
        <w:tc>
          <w:tcPr>
            <w:tcW w:w="3720" w:type="dxa"/>
            <w:tcBorders>
              <w:top w:val="nil"/>
              <w:left w:val="single" w:sz="12" w:space="0" w:color="auto"/>
              <w:bottom w:val="single" w:sz="8" w:space="0" w:color="auto"/>
              <w:right w:val="single" w:sz="12" w:space="0" w:color="auto"/>
            </w:tcBorders>
            <w:shd w:val="clear" w:color="auto" w:fill="auto"/>
            <w:noWrap/>
            <w:vAlign w:val="center"/>
            <w:hideMark/>
          </w:tcPr>
          <w:p w:rsidR="00972429" w:rsidRDefault="00972429" w:rsidP="00972429">
            <w:pPr>
              <w:rPr>
                <w:rFonts w:ascii="Arial" w:hAnsi="Arial" w:cs="Arial"/>
                <w:color w:val="000000"/>
              </w:rPr>
            </w:pPr>
            <w:r>
              <w:rPr>
                <w:rFonts w:ascii="Arial" w:hAnsi="Arial" w:cs="Arial"/>
                <w:color w:val="000000"/>
              </w:rPr>
              <w:t>Hib/MenC booster (5 years old)</w:t>
            </w:r>
          </w:p>
        </w:tc>
        <w:tc>
          <w:tcPr>
            <w:tcW w:w="1048" w:type="dxa"/>
            <w:tcBorders>
              <w:top w:val="nil"/>
              <w:left w:val="nil"/>
              <w:bottom w:val="single" w:sz="8"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81.2%</w:t>
            </w:r>
          </w:p>
        </w:tc>
        <w:tc>
          <w:tcPr>
            <w:tcW w:w="960" w:type="dxa"/>
            <w:tcBorders>
              <w:top w:val="nil"/>
              <w:left w:val="nil"/>
              <w:bottom w:val="single" w:sz="8"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88.1%</w:t>
            </w:r>
          </w:p>
        </w:tc>
        <w:tc>
          <w:tcPr>
            <w:tcW w:w="1024" w:type="dxa"/>
            <w:tcBorders>
              <w:top w:val="nil"/>
              <w:left w:val="nil"/>
              <w:bottom w:val="single" w:sz="8" w:space="0" w:color="auto"/>
              <w:right w:val="single" w:sz="12"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92.4%</w:t>
            </w:r>
          </w:p>
        </w:tc>
      </w:tr>
      <w:tr w:rsidR="00972429" w:rsidRPr="006A31AE" w:rsidTr="00972429">
        <w:trPr>
          <w:cantSplit/>
          <w:trHeight w:val="406"/>
        </w:trPr>
        <w:tc>
          <w:tcPr>
            <w:tcW w:w="3720" w:type="dxa"/>
            <w:tcBorders>
              <w:top w:val="nil"/>
              <w:left w:val="single" w:sz="12" w:space="0" w:color="auto"/>
              <w:bottom w:val="single" w:sz="8" w:space="0" w:color="auto"/>
              <w:right w:val="single" w:sz="12" w:space="0" w:color="auto"/>
            </w:tcBorders>
            <w:shd w:val="clear" w:color="auto" w:fill="auto"/>
            <w:noWrap/>
            <w:vAlign w:val="center"/>
            <w:hideMark/>
          </w:tcPr>
          <w:p w:rsidR="00972429" w:rsidRDefault="00972429" w:rsidP="00972429">
            <w:pPr>
              <w:rPr>
                <w:rFonts w:ascii="Arial" w:hAnsi="Arial" w:cs="Arial"/>
                <w:color w:val="000000"/>
              </w:rPr>
            </w:pPr>
            <w:r>
              <w:rPr>
                <w:rFonts w:ascii="Arial" w:hAnsi="Arial" w:cs="Arial"/>
                <w:color w:val="000000"/>
              </w:rPr>
              <w:t>PCV booster</w:t>
            </w:r>
          </w:p>
        </w:tc>
        <w:tc>
          <w:tcPr>
            <w:tcW w:w="1048" w:type="dxa"/>
            <w:tcBorders>
              <w:top w:val="nil"/>
              <w:left w:val="nil"/>
              <w:bottom w:val="single" w:sz="8"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81.2%</w:t>
            </w:r>
          </w:p>
        </w:tc>
        <w:tc>
          <w:tcPr>
            <w:tcW w:w="960" w:type="dxa"/>
            <w:tcBorders>
              <w:top w:val="nil"/>
              <w:left w:val="nil"/>
              <w:bottom w:val="single" w:sz="8"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84.3%</w:t>
            </w:r>
          </w:p>
        </w:tc>
        <w:tc>
          <w:tcPr>
            <w:tcW w:w="1024" w:type="dxa"/>
            <w:tcBorders>
              <w:top w:val="nil"/>
              <w:left w:val="nil"/>
              <w:bottom w:val="single" w:sz="8" w:space="0" w:color="auto"/>
              <w:right w:val="single" w:sz="12"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91.0%</w:t>
            </w:r>
          </w:p>
        </w:tc>
      </w:tr>
      <w:tr w:rsidR="00972429" w:rsidRPr="006A31AE" w:rsidTr="00972429">
        <w:trPr>
          <w:cantSplit/>
          <w:trHeight w:val="406"/>
        </w:trPr>
        <w:tc>
          <w:tcPr>
            <w:tcW w:w="3720" w:type="dxa"/>
            <w:tcBorders>
              <w:top w:val="nil"/>
              <w:left w:val="single" w:sz="12" w:space="0" w:color="auto"/>
              <w:bottom w:val="single" w:sz="8" w:space="0" w:color="auto"/>
              <w:right w:val="single" w:sz="12" w:space="0" w:color="auto"/>
            </w:tcBorders>
            <w:shd w:val="clear" w:color="auto" w:fill="auto"/>
            <w:noWrap/>
            <w:vAlign w:val="center"/>
            <w:hideMark/>
          </w:tcPr>
          <w:p w:rsidR="00972429" w:rsidRDefault="00972429" w:rsidP="00972429">
            <w:pPr>
              <w:rPr>
                <w:rFonts w:ascii="Arial" w:hAnsi="Arial" w:cs="Arial"/>
                <w:color w:val="000000"/>
              </w:rPr>
            </w:pPr>
            <w:r>
              <w:rPr>
                <w:rFonts w:ascii="Arial" w:hAnsi="Arial" w:cs="Arial"/>
                <w:color w:val="000000"/>
              </w:rPr>
              <w:t>MMR one dose (2 years old)</w:t>
            </w:r>
          </w:p>
        </w:tc>
        <w:tc>
          <w:tcPr>
            <w:tcW w:w="1048" w:type="dxa"/>
            <w:tcBorders>
              <w:top w:val="nil"/>
              <w:left w:val="nil"/>
              <w:bottom w:val="single" w:sz="8"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80.3%</w:t>
            </w:r>
          </w:p>
        </w:tc>
        <w:tc>
          <w:tcPr>
            <w:tcW w:w="960" w:type="dxa"/>
            <w:tcBorders>
              <w:top w:val="nil"/>
              <w:left w:val="nil"/>
              <w:bottom w:val="single" w:sz="8"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85.1%</w:t>
            </w:r>
          </w:p>
        </w:tc>
        <w:tc>
          <w:tcPr>
            <w:tcW w:w="1024" w:type="dxa"/>
            <w:tcBorders>
              <w:top w:val="nil"/>
              <w:left w:val="nil"/>
              <w:bottom w:val="single" w:sz="8" w:space="0" w:color="auto"/>
              <w:right w:val="single" w:sz="12"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91.2%</w:t>
            </w:r>
          </w:p>
        </w:tc>
      </w:tr>
      <w:tr w:rsidR="00972429" w:rsidRPr="006A31AE" w:rsidTr="00972429">
        <w:trPr>
          <w:cantSplit/>
          <w:trHeight w:val="406"/>
        </w:trPr>
        <w:tc>
          <w:tcPr>
            <w:tcW w:w="3720" w:type="dxa"/>
            <w:tcBorders>
              <w:top w:val="nil"/>
              <w:left w:val="single" w:sz="12" w:space="0" w:color="auto"/>
              <w:bottom w:val="single" w:sz="8" w:space="0" w:color="auto"/>
              <w:right w:val="single" w:sz="12" w:space="0" w:color="auto"/>
            </w:tcBorders>
            <w:shd w:val="clear" w:color="auto" w:fill="auto"/>
            <w:noWrap/>
            <w:vAlign w:val="center"/>
            <w:hideMark/>
          </w:tcPr>
          <w:p w:rsidR="00972429" w:rsidRDefault="00972429" w:rsidP="00972429">
            <w:pPr>
              <w:rPr>
                <w:rFonts w:ascii="Arial" w:hAnsi="Arial" w:cs="Arial"/>
                <w:color w:val="000000"/>
              </w:rPr>
            </w:pPr>
            <w:r>
              <w:rPr>
                <w:rFonts w:ascii="Arial" w:hAnsi="Arial" w:cs="Arial"/>
                <w:color w:val="000000"/>
              </w:rPr>
              <w:t>MMR one dose (5 years old)</w:t>
            </w:r>
          </w:p>
        </w:tc>
        <w:tc>
          <w:tcPr>
            <w:tcW w:w="1048" w:type="dxa"/>
            <w:tcBorders>
              <w:top w:val="nil"/>
              <w:left w:val="nil"/>
              <w:bottom w:val="single" w:sz="8"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85.6%</w:t>
            </w:r>
          </w:p>
        </w:tc>
        <w:tc>
          <w:tcPr>
            <w:tcW w:w="960" w:type="dxa"/>
            <w:tcBorders>
              <w:top w:val="nil"/>
              <w:left w:val="nil"/>
              <w:bottom w:val="single" w:sz="8"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91.4%</w:t>
            </w:r>
          </w:p>
        </w:tc>
        <w:tc>
          <w:tcPr>
            <w:tcW w:w="1024" w:type="dxa"/>
            <w:tcBorders>
              <w:top w:val="nil"/>
              <w:left w:val="nil"/>
              <w:bottom w:val="single" w:sz="8" w:space="0" w:color="auto"/>
              <w:right w:val="single" w:sz="12"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94.9%</w:t>
            </w:r>
          </w:p>
        </w:tc>
      </w:tr>
      <w:tr w:rsidR="00972429" w:rsidRPr="006A31AE" w:rsidTr="00972429">
        <w:trPr>
          <w:cantSplit/>
          <w:trHeight w:val="406"/>
        </w:trPr>
        <w:tc>
          <w:tcPr>
            <w:tcW w:w="3720" w:type="dxa"/>
            <w:tcBorders>
              <w:top w:val="nil"/>
              <w:left w:val="single" w:sz="12" w:space="0" w:color="auto"/>
              <w:bottom w:val="single" w:sz="12" w:space="0" w:color="auto"/>
              <w:right w:val="single" w:sz="12" w:space="0" w:color="auto"/>
            </w:tcBorders>
            <w:shd w:val="clear" w:color="auto" w:fill="auto"/>
            <w:noWrap/>
            <w:vAlign w:val="center"/>
            <w:hideMark/>
          </w:tcPr>
          <w:p w:rsidR="00972429" w:rsidRDefault="00972429" w:rsidP="00972429">
            <w:pPr>
              <w:rPr>
                <w:rFonts w:ascii="Arial" w:hAnsi="Arial" w:cs="Arial"/>
                <w:color w:val="000000"/>
              </w:rPr>
            </w:pPr>
            <w:r>
              <w:rPr>
                <w:rFonts w:ascii="Arial" w:hAnsi="Arial" w:cs="Arial"/>
                <w:color w:val="000000"/>
              </w:rPr>
              <w:t>MMR two doses (5 years old)</w:t>
            </w:r>
          </w:p>
        </w:tc>
        <w:tc>
          <w:tcPr>
            <w:tcW w:w="1048" w:type="dxa"/>
            <w:tcBorders>
              <w:top w:val="nil"/>
              <w:left w:val="nil"/>
              <w:bottom w:val="single" w:sz="12"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73.1%</w:t>
            </w:r>
          </w:p>
        </w:tc>
        <w:tc>
          <w:tcPr>
            <w:tcW w:w="960" w:type="dxa"/>
            <w:tcBorders>
              <w:top w:val="nil"/>
              <w:left w:val="nil"/>
              <w:bottom w:val="single" w:sz="12" w:space="0" w:color="auto"/>
              <w:right w:val="single" w:sz="8"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77.8%</w:t>
            </w:r>
          </w:p>
        </w:tc>
        <w:tc>
          <w:tcPr>
            <w:tcW w:w="1024" w:type="dxa"/>
            <w:tcBorders>
              <w:top w:val="nil"/>
              <w:left w:val="nil"/>
              <w:bottom w:val="single" w:sz="12" w:space="0" w:color="auto"/>
              <w:right w:val="single" w:sz="12" w:space="0" w:color="auto"/>
            </w:tcBorders>
            <w:shd w:val="clear" w:color="auto" w:fill="auto"/>
            <w:noWrap/>
            <w:vAlign w:val="center"/>
            <w:hideMark/>
          </w:tcPr>
          <w:p w:rsidR="00972429" w:rsidRDefault="00972429" w:rsidP="00972429">
            <w:pPr>
              <w:jc w:val="center"/>
              <w:rPr>
                <w:rFonts w:ascii="Arial" w:hAnsi="Arial" w:cs="Arial"/>
                <w:color w:val="000000"/>
              </w:rPr>
            </w:pPr>
            <w:r>
              <w:rPr>
                <w:rFonts w:ascii="Arial" w:hAnsi="Arial" w:cs="Arial"/>
                <w:color w:val="000000"/>
              </w:rPr>
              <w:t>87.2%</w:t>
            </w:r>
          </w:p>
        </w:tc>
      </w:tr>
    </w:tbl>
    <w:p w:rsidR="006A31AE" w:rsidRPr="00600C44" w:rsidRDefault="006A31AE" w:rsidP="006A31AE">
      <w:pPr>
        <w:spacing w:after="200" w:line="276" w:lineRule="auto"/>
        <w:ind w:left="142"/>
        <w:rPr>
          <w:rFonts w:ascii="Arial" w:eastAsia="Calibri" w:hAnsi="Arial" w:cs="Arial"/>
          <w:sz w:val="20"/>
          <w:szCs w:val="20"/>
          <w:lang w:eastAsia="en-GB"/>
        </w:rPr>
      </w:pPr>
      <w:r w:rsidRPr="00600C44">
        <w:rPr>
          <w:rFonts w:ascii="Arial" w:eastAsia="Calibri" w:hAnsi="Arial" w:cs="Arial"/>
          <w:sz w:val="20"/>
          <w:szCs w:val="20"/>
          <w:lang w:eastAsia="en-GB"/>
        </w:rPr>
        <w:t>Source: PHE Public Health Outcomes Framework Tool</w:t>
      </w:r>
    </w:p>
    <w:p w:rsidR="002372F6" w:rsidRDefault="002372F6" w:rsidP="00FC32DA">
      <w:pPr>
        <w:spacing w:after="0"/>
        <w:rPr>
          <w:rFonts w:ascii="Arial" w:eastAsia="Calibri" w:hAnsi="Arial" w:cs="Arial"/>
          <w:sz w:val="24"/>
          <w:szCs w:val="24"/>
          <w:lang w:eastAsia="en-GB"/>
        </w:rPr>
      </w:pPr>
    </w:p>
    <w:p w:rsidR="00D648CA" w:rsidRDefault="00D648CA" w:rsidP="00FC32DA">
      <w:pPr>
        <w:spacing w:after="0"/>
        <w:rPr>
          <w:rFonts w:ascii="Arial" w:eastAsia="Calibri" w:hAnsi="Arial" w:cs="Arial"/>
          <w:sz w:val="24"/>
          <w:szCs w:val="24"/>
          <w:lang w:eastAsia="en-GB"/>
        </w:rPr>
      </w:pPr>
    </w:p>
    <w:p w:rsidR="00D648CA" w:rsidRDefault="00D648CA" w:rsidP="00FC32DA">
      <w:pPr>
        <w:spacing w:after="0"/>
        <w:rPr>
          <w:rFonts w:ascii="Arial" w:eastAsia="Calibri" w:hAnsi="Arial" w:cs="Arial"/>
          <w:sz w:val="24"/>
          <w:szCs w:val="24"/>
          <w:lang w:eastAsia="en-GB"/>
        </w:rPr>
      </w:pPr>
    </w:p>
    <w:p w:rsidR="00FC32DA" w:rsidRDefault="006A31AE" w:rsidP="00FC32DA">
      <w:pPr>
        <w:spacing w:after="0"/>
        <w:rPr>
          <w:rFonts w:ascii="Arial" w:eastAsia="Calibri" w:hAnsi="Arial" w:cs="Arial"/>
          <w:sz w:val="24"/>
          <w:szCs w:val="24"/>
          <w:lang w:eastAsia="en-GB"/>
        </w:rPr>
      </w:pPr>
      <w:r w:rsidRPr="006A31AE">
        <w:rPr>
          <w:rFonts w:ascii="Arial" w:eastAsia="Calibri" w:hAnsi="Arial" w:cs="Arial"/>
          <w:sz w:val="24"/>
          <w:szCs w:val="24"/>
          <w:lang w:eastAsia="en-GB"/>
        </w:rPr>
        <w:t xml:space="preserve">Coverage of the HPV vaccine in Croydon has been significantly lower than the national average for the last 3 years. The coverage of the vaccine in Croydon for </w:t>
      </w:r>
      <w:r w:rsidR="00FC32DA">
        <w:rPr>
          <w:rFonts w:ascii="Arial" w:eastAsia="Calibri" w:hAnsi="Arial" w:cs="Arial"/>
          <w:sz w:val="24"/>
          <w:szCs w:val="24"/>
          <w:lang w:eastAsia="en-GB"/>
        </w:rPr>
        <w:t>2016/2017</w:t>
      </w:r>
      <w:r w:rsidR="00FC32DA" w:rsidRPr="00FC32DA">
        <w:rPr>
          <w:rFonts w:ascii="Arial" w:eastAsia="Calibri" w:hAnsi="Arial" w:cs="Arial"/>
          <w:sz w:val="24"/>
          <w:szCs w:val="24"/>
          <w:lang w:eastAsia="en-GB"/>
        </w:rPr>
        <w:t xml:space="preserve"> </w:t>
      </w:r>
      <w:r w:rsidR="00FC32DA" w:rsidRPr="006A31AE">
        <w:rPr>
          <w:rFonts w:ascii="Arial" w:eastAsia="Calibri" w:hAnsi="Arial" w:cs="Arial"/>
          <w:sz w:val="24"/>
          <w:szCs w:val="24"/>
          <w:lang w:eastAsia="en-GB"/>
        </w:rPr>
        <w:t>was 77.8% of girls aged 12-13, compared to 83.8% across London and 87.2% across England.</w:t>
      </w:r>
      <w:r w:rsidR="00FC32DA" w:rsidRPr="006A31AE">
        <w:rPr>
          <w:rFonts w:ascii="Arial" w:eastAsia="Calibri" w:hAnsi="Arial" w:cs="Arial"/>
          <w:sz w:val="24"/>
          <w:szCs w:val="24"/>
          <w:vertAlign w:val="superscript"/>
          <w:lang w:eastAsia="en-GB"/>
        </w:rPr>
        <w:footnoteReference w:id="12"/>
      </w:r>
      <w:r w:rsidR="00FC32DA">
        <w:rPr>
          <w:rFonts w:ascii="Arial" w:eastAsia="Calibri" w:hAnsi="Arial" w:cs="Arial"/>
          <w:sz w:val="24"/>
          <w:szCs w:val="24"/>
          <w:lang w:eastAsia="en-GB"/>
        </w:rPr>
        <w:t xml:space="preserve"> </w:t>
      </w:r>
    </w:p>
    <w:p w:rsidR="0006301F" w:rsidRDefault="0006301F" w:rsidP="00FC32DA">
      <w:pPr>
        <w:spacing w:after="0"/>
        <w:rPr>
          <w:rFonts w:ascii="Arial" w:eastAsia="Times New Roman" w:hAnsi="Arial" w:cs="Arial"/>
          <w:b/>
          <w:bCs/>
          <w:color w:val="00B050"/>
          <w:sz w:val="28"/>
          <w:szCs w:val="24"/>
          <w:lang w:eastAsia="en-GB"/>
        </w:rPr>
      </w:pPr>
    </w:p>
    <w:p w:rsidR="0006301F" w:rsidRDefault="0006301F" w:rsidP="00FC32DA">
      <w:pPr>
        <w:spacing w:after="0"/>
        <w:rPr>
          <w:rFonts w:ascii="Arial" w:eastAsia="Times New Roman" w:hAnsi="Arial" w:cs="Arial"/>
          <w:b/>
          <w:bCs/>
          <w:color w:val="00B050"/>
          <w:sz w:val="28"/>
          <w:szCs w:val="24"/>
          <w:lang w:eastAsia="en-GB"/>
        </w:rPr>
      </w:pPr>
    </w:p>
    <w:p w:rsidR="004439DD" w:rsidRDefault="004439DD" w:rsidP="00FC32DA">
      <w:pPr>
        <w:spacing w:after="0"/>
        <w:rPr>
          <w:rFonts w:ascii="Arial" w:eastAsia="Times New Roman" w:hAnsi="Arial" w:cs="Arial"/>
          <w:b/>
          <w:bCs/>
          <w:color w:val="00B050"/>
          <w:sz w:val="28"/>
          <w:szCs w:val="24"/>
          <w:lang w:eastAsia="en-GB"/>
        </w:rPr>
      </w:pPr>
    </w:p>
    <w:p w:rsidR="006A31AE" w:rsidRPr="006A31AE" w:rsidRDefault="006A31AE" w:rsidP="00FC32DA">
      <w:pPr>
        <w:spacing w:after="0"/>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Excess weight</w:t>
      </w: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rPr>
          <w:rFonts w:ascii="Arial" w:eastAsia="Calibri" w:hAnsi="Arial" w:cs="Arial"/>
          <w:sz w:val="24"/>
          <w:szCs w:val="24"/>
          <w:lang w:eastAsia="en-GB"/>
        </w:rPr>
      </w:pPr>
      <w:r w:rsidRPr="006A31AE">
        <w:rPr>
          <w:rFonts w:ascii="Arial" w:eastAsia="Calibri" w:hAnsi="Arial" w:cs="Arial"/>
          <w:sz w:val="24"/>
          <w:szCs w:val="24"/>
          <w:lang w:eastAsia="en-GB"/>
        </w:rPr>
        <w:t>Excess weight in primary school pupils remains a concern in Croydon. The proportion of Croydon pupils in Year 6 measured as having excess weight was 37.7% (2016/2017) and remains higher than the England average (34.2%) but the London average at 38.5% is higher than the Croydon rate.</w:t>
      </w:r>
      <w:r w:rsidRPr="006A31AE">
        <w:rPr>
          <w:rFonts w:ascii="Arial" w:eastAsia="Calibri" w:hAnsi="Arial" w:cs="Arial"/>
          <w:sz w:val="24"/>
          <w:szCs w:val="24"/>
          <w:vertAlign w:val="superscript"/>
          <w:lang w:eastAsia="en-GB"/>
        </w:rPr>
        <w:footnoteReference w:id="13"/>
      </w:r>
    </w:p>
    <w:p w:rsidR="006A31AE" w:rsidRDefault="006A31AE" w:rsidP="006A31AE">
      <w:pPr>
        <w:spacing w:after="0"/>
        <w:rPr>
          <w:rFonts w:ascii="Arial" w:eastAsia="Calibri" w:hAnsi="Arial" w:cs="Arial"/>
          <w:sz w:val="24"/>
          <w:szCs w:val="24"/>
          <w:lang w:eastAsia="en-GB"/>
        </w:rPr>
      </w:pPr>
    </w:p>
    <w:p w:rsidR="00E874F1" w:rsidRDefault="00E874F1" w:rsidP="006A31AE">
      <w:pPr>
        <w:spacing w:after="0"/>
        <w:rPr>
          <w:rFonts w:ascii="Arial" w:eastAsia="Calibri" w:hAnsi="Arial" w:cs="Arial"/>
          <w:sz w:val="24"/>
          <w:szCs w:val="24"/>
          <w:lang w:eastAsia="en-GB"/>
        </w:rPr>
      </w:pPr>
    </w:p>
    <w:p w:rsidR="006A31AE" w:rsidRPr="00CF633E" w:rsidRDefault="00264977" w:rsidP="006A31AE">
      <w:pPr>
        <w:spacing w:after="200" w:line="276" w:lineRule="auto"/>
        <w:rPr>
          <w:rFonts w:ascii="Arial" w:eastAsia="Calibri" w:hAnsi="Arial" w:cs="Arial"/>
          <w:sz w:val="24"/>
          <w:szCs w:val="24"/>
          <w:u w:val="single"/>
          <w:lang w:eastAsia="en-GB"/>
        </w:rPr>
      </w:pPr>
      <w:r>
        <w:rPr>
          <w:rFonts w:ascii="Arial" w:eastAsia="Calibri" w:hAnsi="Arial" w:cs="Arial"/>
          <w:sz w:val="24"/>
          <w:szCs w:val="24"/>
          <w:u w:val="single"/>
          <w:lang w:eastAsia="en-GB"/>
        </w:rPr>
        <w:t>Fig</w:t>
      </w:r>
      <w:r w:rsidR="006A31AE" w:rsidRPr="00CF633E">
        <w:rPr>
          <w:rFonts w:ascii="Arial" w:eastAsia="Calibri" w:hAnsi="Arial" w:cs="Arial"/>
          <w:sz w:val="24"/>
          <w:szCs w:val="24"/>
          <w:u w:val="single"/>
          <w:lang w:eastAsia="en-GB"/>
        </w:rPr>
        <w:t>ure 5 – Excess weight in pupils in Year 6</w:t>
      </w:r>
    </w:p>
    <w:p w:rsidR="006A31AE" w:rsidRPr="006A31AE" w:rsidRDefault="006A31AE" w:rsidP="006A31AE">
      <w:pPr>
        <w:spacing w:after="0"/>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1D20E310" wp14:editId="11B395CC">
            <wp:extent cx="3992880" cy="2410103"/>
            <wp:effectExtent l="19050" t="19050" r="26670" b="28575"/>
            <wp:docPr id="13343" name="Picture 13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014150" cy="2422941"/>
                    </a:xfrm>
                    <a:prstGeom prst="rect">
                      <a:avLst/>
                    </a:prstGeom>
                    <a:noFill/>
                    <a:ln>
                      <a:solidFill>
                        <a:sysClr val="windowText" lastClr="000000"/>
                      </a:solidFill>
                    </a:ln>
                  </pic:spPr>
                </pic:pic>
              </a:graphicData>
            </a:graphic>
          </wp:inline>
        </w:drawing>
      </w:r>
    </w:p>
    <w:p w:rsidR="0006301F" w:rsidRDefault="006A31AE" w:rsidP="006A31AE">
      <w:pPr>
        <w:spacing w:after="200" w:line="276" w:lineRule="auto"/>
        <w:rPr>
          <w:rFonts w:ascii="Arial" w:eastAsia="Calibri" w:hAnsi="Arial" w:cs="Arial"/>
          <w:sz w:val="20"/>
          <w:szCs w:val="20"/>
          <w:lang w:eastAsia="en-GB"/>
        </w:rPr>
      </w:pPr>
      <w:r w:rsidRPr="00600C44">
        <w:rPr>
          <w:rFonts w:ascii="Arial" w:eastAsia="Calibri" w:hAnsi="Arial" w:cs="Arial"/>
          <w:sz w:val="20"/>
          <w:szCs w:val="20"/>
          <w:lang w:eastAsia="en-GB"/>
        </w:rPr>
        <w:t>Source: NCMP</w:t>
      </w:r>
    </w:p>
    <w:p w:rsidR="00317984" w:rsidRDefault="00317984" w:rsidP="006A31AE">
      <w:pPr>
        <w:spacing w:after="200" w:line="276" w:lineRule="auto"/>
        <w:rPr>
          <w:rFonts w:ascii="Arial" w:eastAsia="Calibri" w:hAnsi="Arial" w:cs="Arial"/>
          <w:sz w:val="24"/>
          <w:szCs w:val="24"/>
          <w:lang w:eastAsia="en-GB"/>
        </w:rPr>
      </w:pPr>
    </w:p>
    <w:p w:rsidR="004439DD" w:rsidRDefault="004439DD" w:rsidP="006A31AE">
      <w:pPr>
        <w:spacing w:after="200" w:line="276" w:lineRule="auto"/>
        <w:rPr>
          <w:rFonts w:ascii="Arial" w:eastAsia="Calibri" w:hAnsi="Arial" w:cs="Arial"/>
          <w:sz w:val="24"/>
          <w:szCs w:val="24"/>
          <w:lang w:eastAsia="en-GB"/>
        </w:rPr>
      </w:pPr>
    </w:p>
    <w:p w:rsidR="00D648CA" w:rsidRDefault="00D648CA" w:rsidP="006A31AE">
      <w:pPr>
        <w:spacing w:after="200" w:line="276" w:lineRule="auto"/>
        <w:rPr>
          <w:rFonts w:ascii="Arial" w:eastAsia="Calibri" w:hAnsi="Arial" w:cs="Arial"/>
          <w:sz w:val="24"/>
          <w:szCs w:val="24"/>
          <w:lang w:eastAsia="en-GB"/>
        </w:rPr>
      </w:pPr>
    </w:p>
    <w:p w:rsidR="00E874F1" w:rsidRDefault="00E874F1" w:rsidP="006A31AE">
      <w:pPr>
        <w:spacing w:after="0"/>
        <w:rPr>
          <w:rFonts w:ascii="Arial" w:eastAsia="Calibri" w:hAnsi="Arial" w:cs="Arial"/>
          <w:sz w:val="24"/>
          <w:szCs w:val="24"/>
          <w:lang w:eastAsia="en-GB"/>
        </w:rPr>
      </w:pPr>
    </w:p>
    <w:p w:rsidR="006A31AE" w:rsidRPr="006A31AE" w:rsidRDefault="006A31AE" w:rsidP="006A31AE">
      <w:pPr>
        <w:spacing w:after="0"/>
        <w:rPr>
          <w:rFonts w:ascii="Arial" w:eastAsia="Calibri" w:hAnsi="Arial" w:cs="Arial"/>
          <w:sz w:val="24"/>
          <w:szCs w:val="24"/>
          <w:lang w:eastAsia="en-GB"/>
        </w:rPr>
      </w:pPr>
      <w:r w:rsidRPr="006A31AE">
        <w:rPr>
          <w:rFonts w:ascii="Arial" w:eastAsia="Calibri" w:hAnsi="Arial" w:cs="Arial"/>
          <w:sz w:val="24"/>
          <w:szCs w:val="24"/>
          <w:lang w:eastAsia="en-GB"/>
        </w:rPr>
        <w:t>The proportion of Croydon pupils in Reception year (aged 4-5) measured as having excess weight increased to 23.7% in the latest year (2016/2017).</w:t>
      </w:r>
      <w:r w:rsidRPr="006A31AE">
        <w:rPr>
          <w:rFonts w:ascii="Arial" w:eastAsia="Calibri" w:hAnsi="Arial" w:cs="Arial"/>
          <w:sz w:val="24"/>
          <w:szCs w:val="24"/>
          <w:vertAlign w:val="superscript"/>
          <w:lang w:eastAsia="en-GB"/>
        </w:rPr>
        <w:footnoteReference w:id="14"/>
      </w:r>
      <w:r w:rsidRPr="006A31AE">
        <w:rPr>
          <w:rFonts w:ascii="Arial" w:eastAsia="Calibri" w:hAnsi="Arial" w:cs="Arial"/>
          <w:sz w:val="24"/>
          <w:szCs w:val="24"/>
          <w:lang w:eastAsia="en-GB"/>
        </w:rPr>
        <w:t xml:space="preserve">  This is higher than both the rate in London of 22.3% and the national rate of 22.6%. </w:t>
      </w:r>
    </w:p>
    <w:p w:rsidR="002372F6" w:rsidRDefault="002372F6" w:rsidP="00600C44">
      <w:pPr>
        <w:spacing w:after="0" w:line="240" w:lineRule="auto"/>
        <w:rPr>
          <w:rFonts w:ascii="Arial" w:eastAsia="Calibri" w:hAnsi="Arial" w:cs="Arial"/>
          <w:sz w:val="24"/>
          <w:szCs w:val="24"/>
          <w:u w:val="single"/>
          <w:lang w:eastAsia="en-GB"/>
        </w:rPr>
      </w:pPr>
    </w:p>
    <w:p w:rsidR="002372F6" w:rsidRDefault="002372F6" w:rsidP="00600C44">
      <w:pPr>
        <w:spacing w:after="0" w:line="240" w:lineRule="auto"/>
        <w:rPr>
          <w:rFonts w:ascii="Arial" w:eastAsia="Calibri" w:hAnsi="Arial" w:cs="Arial"/>
          <w:sz w:val="24"/>
          <w:szCs w:val="24"/>
          <w:u w:val="single"/>
          <w:lang w:eastAsia="en-GB"/>
        </w:rPr>
      </w:pPr>
    </w:p>
    <w:p w:rsidR="00317984" w:rsidRDefault="006A31AE" w:rsidP="00600C44">
      <w:pPr>
        <w:spacing w:after="0" w:line="240" w:lineRule="auto"/>
        <w:rPr>
          <w:rFonts w:ascii="Arial" w:eastAsia="Calibri" w:hAnsi="Arial" w:cs="Arial"/>
          <w:sz w:val="24"/>
          <w:szCs w:val="24"/>
          <w:u w:val="single"/>
          <w:lang w:eastAsia="en-GB"/>
        </w:rPr>
      </w:pPr>
      <w:r w:rsidRPr="00CF633E">
        <w:rPr>
          <w:rFonts w:ascii="Arial" w:eastAsia="Calibri" w:hAnsi="Arial" w:cs="Arial"/>
          <w:sz w:val="24"/>
          <w:szCs w:val="24"/>
          <w:u w:val="single"/>
          <w:lang w:eastAsia="en-GB"/>
        </w:rPr>
        <w:t>Figure 6 – Excess weight in pupils in Reception</w:t>
      </w:r>
    </w:p>
    <w:p w:rsidR="00317984" w:rsidRDefault="00317984" w:rsidP="00600C44">
      <w:pPr>
        <w:spacing w:after="0" w:line="240" w:lineRule="auto"/>
        <w:rPr>
          <w:rFonts w:ascii="Arial" w:eastAsia="Calibri" w:hAnsi="Arial" w:cs="Arial"/>
          <w:sz w:val="24"/>
          <w:szCs w:val="24"/>
          <w:u w:val="single"/>
          <w:lang w:eastAsia="en-GB"/>
        </w:rPr>
      </w:pPr>
    </w:p>
    <w:p w:rsidR="006A31AE" w:rsidRPr="006A31AE" w:rsidRDefault="006A31AE" w:rsidP="00600C44">
      <w:pPr>
        <w:spacing w:after="0" w:line="240"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31867F0D" wp14:editId="0FC4DFF1">
            <wp:extent cx="4023360" cy="2431210"/>
            <wp:effectExtent l="19050" t="19050" r="15240" b="26670"/>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045337" cy="2444490"/>
                    </a:xfrm>
                    <a:prstGeom prst="rect">
                      <a:avLst/>
                    </a:prstGeom>
                    <a:solidFill>
                      <a:srgbClr val="701471"/>
                    </a:solidFill>
                    <a:ln>
                      <a:solidFill>
                        <a:sysClr val="windowText" lastClr="000000"/>
                      </a:solidFill>
                    </a:ln>
                  </pic:spPr>
                </pic:pic>
              </a:graphicData>
            </a:graphic>
          </wp:inline>
        </w:drawing>
      </w:r>
    </w:p>
    <w:p w:rsidR="006A31AE" w:rsidRPr="00600C44" w:rsidRDefault="006A31AE" w:rsidP="002372F6">
      <w:pPr>
        <w:spacing w:before="120" w:after="0" w:line="276" w:lineRule="auto"/>
        <w:rPr>
          <w:rFonts w:ascii="Arial" w:eastAsia="Calibri" w:hAnsi="Arial" w:cs="Arial"/>
          <w:sz w:val="20"/>
          <w:szCs w:val="20"/>
          <w:lang w:eastAsia="en-GB"/>
        </w:rPr>
      </w:pPr>
      <w:r w:rsidRPr="00600C44">
        <w:rPr>
          <w:rFonts w:ascii="Arial" w:eastAsia="Calibri" w:hAnsi="Arial" w:cs="Arial"/>
          <w:sz w:val="20"/>
          <w:szCs w:val="20"/>
          <w:lang w:eastAsia="en-GB"/>
        </w:rPr>
        <w:t>Source: NCMP</w:t>
      </w:r>
    </w:p>
    <w:p w:rsidR="006A31AE" w:rsidRPr="00596A1A" w:rsidRDefault="006A31AE" w:rsidP="002372F6">
      <w:pPr>
        <w:spacing w:before="120" w:after="0" w:line="240" w:lineRule="auto"/>
        <w:outlineLvl w:val="1"/>
        <w:rPr>
          <w:rFonts w:ascii="Arial" w:eastAsia="Times New Roman" w:hAnsi="Arial" w:cs="Arial"/>
          <w:b/>
          <w:bCs/>
          <w:sz w:val="20"/>
          <w:szCs w:val="20"/>
          <w:lang w:eastAsia="en-GB"/>
        </w:rPr>
      </w:pPr>
    </w:p>
    <w:p w:rsidR="00317984" w:rsidRPr="00596A1A" w:rsidRDefault="00317984" w:rsidP="002372F6">
      <w:pPr>
        <w:spacing w:before="120" w:after="0" w:line="240" w:lineRule="auto"/>
        <w:outlineLvl w:val="1"/>
        <w:rPr>
          <w:rFonts w:ascii="Arial" w:eastAsia="Times New Roman" w:hAnsi="Arial" w:cs="Arial"/>
          <w:b/>
          <w:bCs/>
          <w:sz w:val="20"/>
          <w:szCs w:val="20"/>
          <w:lang w:eastAsia="en-GB"/>
        </w:rPr>
      </w:pPr>
    </w:p>
    <w:p w:rsidR="002372F6" w:rsidRPr="00596A1A" w:rsidRDefault="002372F6" w:rsidP="002372F6">
      <w:pPr>
        <w:spacing w:before="120" w:after="0" w:line="240" w:lineRule="auto"/>
        <w:outlineLvl w:val="1"/>
        <w:rPr>
          <w:rFonts w:ascii="Arial" w:eastAsia="Times New Roman" w:hAnsi="Arial" w:cs="Arial"/>
          <w:b/>
          <w:bCs/>
          <w:sz w:val="20"/>
          <w:szCs w:val="20"/>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Teenage conceptions</w:t>
      </w:r>
    </w:p>
    <w:p w:rsidR="006A31AE" w:rsidRPr="00015CB6" w:rsidRDefault="006A31AE" w:rsidP="006A31AE">
      <w:pPr>
        <w:spacing w:after="0" w:line="276" w:lineRule="auto"/>
        <w:rPr>
          <w:rFonts w:ascii="Arial" w:eastAsia="Calibri" w:hAnsi="Arial" w:cs="Arial"/>
          <w:color w:val="44546A" w:themeColor="text2"/>
          <w:sz w:val="24"/>
          <w:szCs w:val="24"/>
          <w:lang w:eastAsia="en-GB"/>
        </w:rPr>
      </w:pPr>
    </w:p>
    <w:p w:rsidR="006A31AE" w:rsidRPr="006A31AE" w:rsidRDefault="006A31AE" w:rsidP="006A31AE">
      <w:pPr>
        <w:spacing w:after="0"/>
        <w:rPr>
          <w:rFonts w:ascii="Arial" w:eastAsia="Calibri" w:hAnsi="Arial" w:cs="Arial"/>
          <w:sz w:val="24"/>
          <w:szCs w:val="24"/>
        </w:rPr>
      </w:pPr>
      <w:r w:rsidRPr="006A31AE">
        <w:rPr>
          <w:rFonts w:ascii="Arial" w:eastAsia="Calibri" w:hAnsi="Arial" w:cs="Arial"/>
          <w:sz w:val="24"/>
          <w:szCs w:val="24"/>
        </w:rPr>
        <w:t>Croydon had the third highest teenage conception rate (for girls aged under 18) in London in 2016, (behind Barking &amp; Dagenham and Southwark), according to the latest ONS statistics.</w:t>
      </w:r>
      <w:r w:rsidRPr="006A31AE">
        <w:rPr>
          <w:rFonts w:ascii="Arial" w:eastAsia="Calibri" w:hAnsi="Arial" w:cs="Arial"/>
          <w:sz w:val="24"/>
          <w:szCs w:val="24"/>
          <w:vertAlign w:val="superscript"/>
        </w:rPr>
        <w:footnoteReference w:id="15"/>
      </w:r>
      <w:r w:rsidRPr="006A31AE">
        <w:rPr>
          <w:rFonts w:ascii="Arial" w:eastAsia="Calibri" w:hAnsi="Arial" w:cs="Arial"/>
          <w:sz w:val="24"/>
          <w:szCs w:val="24"/>
        </w:rPr>
        <w:t xml:space="preserve"> Overall there has been a downward trend in teenage conceptions since 1998.</w:t>
      </w:r>
    </w:p>
    <w:p w:rsidR="006A31AE" w:rsidRPr="006A31AE" w:rsidRDefault="006A31AE" w:rsidP="006A31AE">
      <w:pPr>
        <w:spacing w:after="200" w:line="276" w:lineRule="auto"/>
        <w:rPr>
          <w:rFonts w:ascii="Arial" w:eastAsia="Calibri" w:hAnsi="Arial" w:cs="Arial"/>
          <w:sz w:val="24"/>
          <w:szCs w:val="24"/>
        </w:rPr>
      </w:pPr>
    </w:p>
    <w:p w:rsidR="006A31AE" w:rsidRPr="00CF633E" w:rsidRDefault="006A31AE" w:rsidP="006A31AE">
      <w:pPr>
        <w:spacing w:after="0" w:line="240" w:lineRule="auto"/>
        <w:rPr>
          <w:rFonts w:ascii="Arial" w:eastAsia="Calibri" w:hAnsi="Arial" w:cs="Arial"/>
          <w:sz w:val="24"/>
          <w:szCs w:val="24"/>
          <w:u w:val="single"/>
        </w:rPr>
      </w:pPr>
      <w:r w:rsidRPr="00CF633E">
        <w:rPr>
          <w:rFonts w:ascii="Arial" w:eastAsia="Calibri" w:hAnsi="Arial" w:cs="Arial"/>
          <w:sz w:val="24"/>
          <w:szCs w:val="24"/>
          <w:u w:val="single"/>
        </w:rPr>
        <w:t>Figure 7 - Under 18 conception rate</w:t>
      </w:r>
    </w:p>
    <w:p w:rsidR="006A31AE" w:rsidRPr="00335B9E" w:rsidRDefault="006A31AE" w:rsidP="002372F6">
      <w:pPr>
        <w:spacing w:before="120" w:after="0" w:line="240" w:lineRule="auto"/>
        <w:rPr>
          <w:rFonts w:ascii="Arial" w:eastAsia="Calibri" w:hAnsi="Arial" w:cs="Arial"/>
          <w:sz w:val="20"/>
          <w:szCs w:val="20"/>
        </w:rPr>
      </w:pPr>
      <w:r w:rsidRPr="006A31AE">
        <w:rPr>
          <w:rFonts w:ascii="Arial" w:eastAsia="Calibri" w:hAnsi="Arial" w:cs="Arial"/>
          <w:noProof/>
          <w:sz w:val="24"/>
          <w:szCs w:val="24"/>
          <w:lang w:eastAsia="en-GB"/>
        </w:rPr>
        <w:drawing>
          <wp:inline distT="0" distB="0" distL="0" distR="0" wp14:anchorId="0ECFE3F4" wp14:editId="5868B6BB">
            <wp:extent cx="3864429" cy="2220685"/>
            <wp:effectExtent l="0" t="0" r="3175" b="8255"/>
            <wp:docPr id="124" name="Chart 1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1"/>
              </a:graphicData>
            </a:graphic>
          </wp:inline>
        </w:drawing>
      </w:r>
    </w:p>
    <w:p w:rsidR="006A31AE" w:rsidRPr="00335B9E" w:rsidRDefault="006A31AE" w:rsidP="002372F6">
      <w:pPr>
        <w:spacing w:before="120" w:after="0" w:line="240" w:lineRule="auto"/>
        <w:rPr>
          <w:rFonts w:ascii="Arial" w:eastAsia="Calibri" w:hAnsi="Arial" w:cs="Arial"/>
          <w:sz w:val="20"/>
          <w:szCs w:val="20"/>
        </w:rPr>
      </w:pPr>
      <w:r w:rsidRPr="00335B9E">
        <w:rPr>
          <w:rFonts w:ascii="Arial" w:eastAsia="Calibri" w:hAnsi="Arial" w:cs="Arial"/>
          <w:sz w:val="20"/>
          <w:szCs w:val="20"/>
        </w:rPr>
        <w:t>Source: ONS Conception statistics</w:t>
      </w:r>
    </w:p>
    <w:p w:rsidR="006A31AE" w:rsidRPr="006A31AE" w:rsidRDefault="006A31AE" w:rsidP="006A31AE">
      <w:pPr>
        <w:spacing w:after="0"/>
        <w:rPr>
          <w:rFonts w:ascii="Arial" w:eastAsia="Calibri" w:hAnsi="Arial" w:cs="Arial"/>
          <w:sz w:val="24"/>
          <w:szCs w:val="24"/>
        </w:rPr>
      </w:pPr>
    </w:p>
    <w:p w:rsidR="002372F6" w:rsidRDefault="002372F6" w:rsidP="006A31AE">
      <w:pPr>
        <w:spacing w:after="0"/>
        <w:rPr>
          <w:rFonts w:ascii="Arial" w:eastAsia="Calibri" w:hAnsi="Arial" w:cs="Arial"/>
          <w:sz w:val="24"/>
          <w:szCs w:val="24"/>
        </w:rPr>
      </w:pPr>
    </w:p>
    <w:p w:rsidR="004439DD" w:rsidRDefault="004439DD" w:rsidP="006A31AE">
      <w:pPr>
        <w:spacing w:after="0"/>
        <w:rPr>
          <w:rFonts w:ascii="Arial" w:eastAsia="Calibri" w:hAnsi="Arial" w:cs="Arial"/>
          <w:sz w:val="24"/>
          <w:szCs w:val="24"/>
        </w:rPr>
      </w:pPr>
    </w:p>
    <w:p w:rsidR="004439DD" w:rsidRDefault="004439DD" w:rsidP="006A31AE">
      <w:pPr>
        <w:spacing w:after="0"/>
        <w:rPr>
          <w:rFonts w:ascii="Arial" w:eastAsia="Calibri" w:hAnsi="Arial" w:cs="Arial"/>
          <w:sz w:val="24"/>
          <w:szCs w:val="24"/>
        </w:rPr>
      </w:pPr>
    </w:p>
    <w:p w:rsidR="006A31AE" w:rsidRPr="006A31AE" w:rsidRDefault="00FB4630" w:rsidP="006A31AE">
      <w:pPr>
        <w:spacing w:after="0"/>
        <w:rPr>
          <w:rFonts w:ascii="Arial" w:eastAsia="Calibri" w:hAnsi="Arial" w:cs="Arial"/>
          <w:sz w:val="24"/>
          <w:szCs w:val="24"/>
        </w:rPr>
      </w:pPr>
      <w:r>
        <w:rPr>
          <w:rFonts w:ascii="Arial" w:eastAsia="Calibri" w:hAnsi="Arial" w:cs="Arial"/>
          <w:sz w:val="24"/>
          <w:szCs w:val="24"/>
        </w:rPr>
        <w:t>T</w:t>
      </w:r>
      <w:r w:rsidR="006A31AE" w:rsidRPr="006A31AE">
        <w:rPr>
          <w:rFonts w:ascii="Arial" w:eastAsia="Calibri" w:hAnsi="Arial" w:cs="Arial"/>
          <w:sz w:val="24"/>
          <w:szCs w:val="24"/>
        </w:rPr>
        <w:t>he maternity rate for under 18s in Croydon was 6.0 per 1,000 girls aged 15-17 in 2016, a decrease from the rates of 8.5 in 2015 and 10.4 in 2014.</w:t>
      </w:r>
      <w:r w:rsidR="006A31AE" w:rsidRPr="006A31AE">
        <w:rPr>
          <w:rFonts w:ascii="Arial" w:eastAsia="Calibri" w:hAnsi="Arial" w:cs="Arial"/>
          <w:sz w:val="24"/>
          <w:szCs w:val="24"/>
          <w:vertAlign w:val="superscript"/>
        </w:rPr>
        <w:footnoteReference w:id="16"/>
      </w:r>
      <w:r w:rsidR="006A31AE" w:rsidRPr="006A31AE">
        <w:rPr>
          <w:rFonts w:ascii="Arial" w:eastAsia="Calibri" w:hAnsi="Arial" w:cs="Arial"/>
          <w:sz w:val="24"/>
          <w:szCs w:val="24"/>
        </w:rPr>
        <w:t xml:space="preserve"> The rate of abortions </w:t>
      </w:r>
      <w:r w:rsidR="002372F6">
        <w:rPr>
          <w:rFonts w:ascii="Arial" w:eastAsia="Calibri" w:hAnsi="Arial" w:cs="Arial"/>
          <w:sz w:val="24"/>
          <w:szCs w:val="24"/>
        </w:rPr>
        <w:t>i</w:t>
      </w:r>
      <w:r w:rsidR="006A31AE" w:rsidRPr="006A31AE">
        <w:rPr>
          <w:rFonts w:ascii="Arial" w:eastAsia="Calibri" w:hAnsi="Arial" w:cs="Arial"/>
          <w:sz w:val="24"/>
          <w:szCs w:val="24"/>
        </w:rPr>
        <w:t>ncreased slightly from 15 abortions per 1,000 girls aged 15-17 in 2015 to 16 in 2016.</w:t>
      </w:r>
      <w:r w:rsidR="006A31AE" w:rsidRPr="006A31AE">
        <w:rPr>
          <w:rFonts w:ascii="Arial" w:eastAsia="Calibri" w:hAnsi="Arial" w:cs="Arial"/>
          <w:sz w:val="24"/>
          <w:szCs w:val="24"/>
          <w:vertAlign w:val="superscript"/>
        </w:rPr>
        <w:footnoteReference w:id="17"/>
      </w:r>
      <w:r w:rsidR="006A31AE" w:rsidRPr="006A31AE">
        <w:rPr>
          <w:rFonts w:ascii="Arial" w:eastAsia="Calibri" w:hAnsi="Arial" w:cs="Arial"/>
          <w:sz w:val="24"/>
          <w:szCs w:val="24"/>
        </w:rPr>
        <w:t xml:space="preserve"> </w:t>
      </w:r>
    </w:p>
    <w:p w:rsidR="00264977" w:rsidRPr="006A31AE" w:rsidRDefault="00264977" w:rsidP="006A31AE">
      <w:pPr>
        <w:spacing w:after="0"/>
        <w:rPr>
          <w:rFonts w:ascii="Arial" w:eastAsia="Calibri" w:hAnsi="Arial" w:cs="Arial"/>
          <w:sz w:val="24"/>
          <w:szCs w:val="24"/>
        </w:rPr>
      </w:pPr>
    </w:p>
    <w:p w:rsidR="006A31AE" w:rsidRPr="008D1CBF" w:rsidRDefault="006A31AE" w:rsidP="006A31AE">
      <w:pPr>
        <w:spacing w:after="0"/>
        <w:rPr>
          <w:rFonts w:ascii="Arial" w:eastAsia="Calibri" w:hAnsi="Arial" w:cs="Arial"/>
          <w:sz w:val="24"/>
          <w:szCs w:val="24"/>
        </w:rPr>
      </w:pPr>
      <w:r w:rsidRPr="006A31AE">
        <w:rPr>
          <w:rFonts w:ascii="Arial" w:eastAsia="Calibri" w:hAnsi="Arial" w:cs="Arial"/>
          <w:sz w:val="24"/>
          <w:szCs w:val="24"/>
        </w:rPr>
        <w:t>For 2014-2016, Croydon had the second highest rate of under 16 conceptions in London, behind Lambeth. There were 5.5 conceptions per 1,000 girls aged 13-15 in Croydon, compared to 3.2 per 1,000 girls across London and 3.7 per 1,000 across the country.</w:t>
      </w:r>
      <w:r w:rsidRPr="006A31AE">
        <w:rPr>
          <w:rFonts w:ascii="Arial" w:eastAsia="Calibri" w:hAnsi="Arial" w:cs="Arial"/>
          <w:sz w:val="24"/>
          <w:szCs w:val="24"/>
          <w:vertAlign w:val="superscript"/>
        </w:rPr>
        <w:footnoteReference w:id="18"/>
      </w:r>
      <w:r w:rsidRPr="006A31AE">
        <w:rPr>
          <w:rFonts w:ascii="Arial" w:eastAsia="Calibri" w:hAnsi="Arial" w:cs="Arial"/>
          <w:sz w:val="24"/>
          <w:szCs w:val="24"/>
        </w:rPr>
        <w:t xml:space="preserve"> The percentage of under 16 conceptions that resulted in abortion in 2014-16 was 68.2% in Croydon.  This was lower than the percentage across London (69.3%) but </w:t>
      </w:r>
      <w:r w:rsidRPr="008D1CBF">
        <w:rPr>
          <w:rFonts w:ascii="Arial" w:eastAsia="Calibri" w:hAnsi="Arial" w:cs="Arial"/>
          <w:sz w:val="24"/>
          <w:szCs w:val="24"/>
        </w:rPr>
        <w:t>higher than the abortion rate in England (61.6%).</w:t>
      </w:r>
      <w:r w:rsidRPr="008D1CBF">
        <w:rPr>
          <w:rFonts w:ascii="Arial" w:eastAsia="Calibri" w:hAnsi="Arial" w:cs="Arial"/>
          <w:sz w:val="24"/>
          <w:szCs w:val="24"/>
          <w:vertAlign w:val="superscript"/>
        </w:rPr>
        <w:footnoteReference w:id="19"/>
      </w:r>
    </w:p>
    <w:p w:rsidR="006A31AE" w:rsidRDefault="006A31AE" w:rsidP="006A31AE">
      <w:pPr>
        <w:spacing w:after="200" w:line="276" w:lineRule="auto"/>
        <w:rPr>
          <w:rFonts w:ascii="Arial" w:eastAsia="Calibri" w:hAnsi="Arial" w:cs="Arial"/>
          <w:sz w:val="24"/>
          <w:szCs w:val="24"/>
        </w:rPr>
      </w:pPr>
    </w:p>
    <w:p w:rsidR="00F330AD" w:rsidRDefault="00F330AD" w:rsidP="006A31AE">
      <w:pPr>
        <w:spacing w:after="200" w:line="276" w:lineRule="auto"/>
        <w:rPr>
          <w:rFonts w:ascii="Arial" w:eastAsia="Calibri" w:hAnsi="Arial" w:cs="Arial"/>
          <w:sz w:val="24"/>
          <w:szCs w:val="24"/>
        </w:rPr>
      </w:pPr>
    </w:p>
    <w:p w:rsidR="00F330AD" w:rsidRDefault="00F330AD"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317984" w:rsidP="006A31AE">
      <w:pPr>
        <w:spacing w:after="0" w:line="240" w:lineRule="auto"/>
        <w:outlineLvl w:val="1"/>
        <w:rPr>
          <w:rFonts w:ascii="Arial" w:eastAsia="Times New Roman" w:hAnsi="Arial" w:cs="Arial"/>
          <w:b/>
          <w:bCs/>
          <w:color w:val="00B050"/>
          <w:sz w:val="28"/>
          <w:szCs w:val="24"/>
          <w:lang w:eastAsia="en-GB"/>
        </w:rPr>
      </w:pPr>
      <w:r>
        <w:rPr>
          <w:rFonts w:ascii="Arial" w:eastAsia="Times New Roman" w:hAnsi="Arial" w:cs="Arial"/>
          <w:b/>
          <w:bCs/>
          <w:color w:val="00B050"/>
          <w:sz w:val="28"/>
          <w:szCs w:val="24"/>
          <w:lang w:eastAsia="en-GB"/>
        </w:rPr>
        <w:t>S</w:t>
      </w:r>
      <w:r w:rsidR="006A31AE" w:rsidRPr="006A31AE">
        <w:rPr>
          <w:rFonts w:ascii="Arial" w:eastAsia="Times New Roman" w:hAnsi="Arial" w:cs="Arial"/>
          <w:b/>
          <w:bCs/>
          <w:color w:val="00B050"/>
          <w:sz w:val="28"/>
          <w:szCs w:val="24"/>
          <w:lang w:eastAsia="en-GB"/>
        </w:rPr>
        <w:t>exually transmitted infections</w:t>
      </w:r>
    </w:p>
    <w:p w:rsidR="006A31AE" w:rsidRPr="006A31AE" w:rsidRDefault="006A31AE" w:rsidP="006A31AE">
      <w:pPr>
        <w:spacing w:after="0" w:line="276" w:lineRule="auto"/>
        <w:rPr>
          <w:rFonts w:ascii="Arial" w:eastAsia="Calibri" w:hAnsi="Arial" w:cs="Arial"/>
          <w:sz w:val="24"/>
          <w:szCs w:val="24"/>
          <w:lang w:eastAsia="en-GB"/>
        </w:rPr>
      </w:pPr>
    </w:p>
    <w:p w:rsidR="004439DD" w:rsidRDefault="006A31AE" w:rsidP="006A31AE">
      <w:pPr>
        <w:spacing w:after="0"/>
        <w:rPr>
          <w:rFonts w:ascii="Arial" w:eastAsia="Calibri" w:hAnsi="Arial" w:cs="Arial"/>
          <w:sz w:val="24"/>
          <w:szCs w:val="24"/>
        </w:rPr>
      </w:pPr>
      <w:r w:rsidRPr="006A31AE">
        <w:rPr>
          <w:rFonts w:ascii="Arial" w:eastAsia="Calibri" w:hAnsi="Arial" w:cs="Arial"/>
          <w:sz w:val="24"/>
          <w:szCs w:val="24"/>
        </w:rPr>
        <w:t>Over the last 5 years, Croydon has had a better Chlamydia detection rate than the regional and national averages. In 2017 the rate in Croydon was 2,519 per 100,000 young people aged 15-24, higher than London (2,199 per 100,000) and England (1,881 per 100,000</w:t>
      </w:r>
      <w:r w:rsidR="002372F6">
        <w:rPr>
          <w:rFonts w:ascii="Arial" w:eastAsia="Calibri" w:hAnsi="Arial" w:cs="Arial"/>
          <w:sz w:val="24"/>
          <w:szCs w:val="24"/>
        </w:rPr>
        <w:t xml:space="preserve">). </w:t>
      </w:r>
    </w:p>
    <w:p w:rsidR="004439DD" w:rsidRDefault="004439DD" w:rsidP="006A31AE">
      <w:pPr>
        <w:spacing w:after="0"/>
        <w:rPr>
          <w:rFonts w:ascii="Arial" w:eastAsia="Calibri" w:hAnsi="Arial" w:cs="Arial"/>
          <w:sz w:val="24"/>
          <w:szCs w:val="24"/>
        </w:rPr>
      </w:pPr>
    </w:p>
    <w:p w:rsidR="00F330AD" w:rsidRDefault="00F330AD" w:rsidP="006A31AE">
      <w:pPr>
        <w:spacing w:after="0"/>
        <w:rPr>
          <w:rFonts w:ascii="Arial" w:eastAsia="Calibri" w:hAnsi="Arial" w:cs="Arial"/>
          <w:sz w:val="24"/>
          <w:szCs w:val="24"/>
        </w:rPr>
      </w:pPr>
    </w:p>
    <w:p w:rsidR="006A31AE" w:rsidRPr="006A31AE" w:rsidRDefault="006A31AE" w:rsidP="006A31AE">
      <w:pPr>
        <w:spacing w:after="0"/>
        <w:rPr>
          <w:rFonts w:ascii="Arial" w:eastAsia="Calibri" w:hAnsi="Arial" w:cs="Arial"/>
          <w:sz w:val="24"/>
          <w:szCs w:val="24"/>
        </w:rPr>
      </w:pPr>
      <w:r w:rsidRPr="006A31AE">
        <w:rPr>
          <w:rFonts w:ascii="Arial" w:eastAsia="Calibri" w:hAnsi="Arial" w:cs="Arial"/>
          <w:sz w:val="24"/>
          <w:szCs w:val="24"/>
        </w:rPr>
        <w:t>In 2017, 21.2% of those aged 15-24 were screened for Chlamydia in Croydon, higher than the 19.3% screened nationally and lower than the 24.0% screened across London.</w:t>
      </w:r>
      <w:r w:rsidRPr="006A31AE">
        <w:rPr>
          <w:rFonts w:ascii="Arial" w:eastAsia="Calibri" w:hAnsi="Arial" w:cs="Arial"/>
          <w:sz w:val="24"/>
          <w:szCs w:val="24"/>
          <w:vertAlign w:val="superscript"/>
        </w:rPr>
        <w:footnoteReference w:id="20"/>
      </w:r>
    </w:p>
    <w:p w:rsidR="00335B9E" w:rsidRDefault="00335B9E" w:rsidP="006A31AE">
      <w:pPr>
        <w:spacing w:after="0"/>
        <w:rPr>
          <w:rFonts w:ascii="Arial" w:eastAsia="Calibri" w:hAnsi="Arial" w:cs="Arial"/>
          <w:sz w:val="24"/>
          <w:szCs w:val="24"/>
        </w:rPr>
      </w:pPr>
    </w:p>
    <w:p w:rsidR="006A31AE" w:rsidRPr="006A31AE" w:rsidRDefault="002372F6" w:rsidP="006A31AE">
      <w:pPr>
        <w:spacing w:after="0"/>
        <w:rPr>
          <w:rFonts w:ascii="Arial" w:eastAsia="Calibri" w:hAnsi="Arial" w:cs="Arial"/>
          <w:sz w:val="24"/>
          <w:szCs w:val="24"/>
        </w:rPr>
      </w:pPr>
      <w:r>
        <w:rPr>
          <w:rFonts w:ascii="Arial" w:eastAsia="Calibri" w:hAnsi="Arial" w:cs="Arial"/>
          <w:sz w:val="24"/>
          <w:szCs w:val="24"/>
        </w:rPr>
        <w:t>I</w:t>
      </w:r>
      <w:r w:rsidR="006A31AE" w:rsidRPr="006A31AE">
        <w:rPr>
          <w:rFonts w:ascii="Arial" w:eastAsia="Calibri" w:hAnsi="Arial" w:cs="Arial"/>
          <w:sz w:val="24"/>
          <w:szCs w:val="24"/>
        </w:rPr>
        <w:t>n 2017, the rate for all new STI diagnoses (excluding Chlamydia diagnoses in those aged &lt;25 years) remained much higher in Croydon compared to the England average. In Croydon there were 1,283 diagnoses per 100,000 population compared to 794 per 100,000 across England and 1,547 per 100,000 in London.</w:t>
      </w:r>
      <w:r w:rsidR="006A31AE" w:rsidRPr="006A31AE">
        <w:rPr>
          <w:rFonts w:ascii="Arial" w:eastAsia="Calibri" w:hAnsi="Arial" w:cs="Arial"/>
          <w:sz w:val="24"/>
          <w:szCs w:val="24"/>
          <w:vertAlign w:val="superscript"/>
        </w:rPr>
        <w:footnoteReference w:id="21"/>
      </w:r>
    </w:p>
    <w:p w:rsidR="002372F6" w:rsidRDefault="002372F6" w:rsidP="006A31AE">
      <w:pPr>
        <w:spacing w:after="0" w:line="240" w:lineRule="auto"/>
        <w:outlineLvl w:val="0"/>
        <w:rPr>
          <w:rFonts w:ascii="Arial" w:eastAsia="Times New Roman" w:hAnsi="Arial" w:cs="Arial"/>
          <w:b/>
          <w:bCs/>
          <w:color w:val="701471"/>
          <w:sz w:val="28"/>
          <w:szCs w:val="24"/>
          <w:lang w:eastAsia="en-GB"/>
        </w:rPr>
      </w:pPr>
      <w:bookmarkStart w:id="21" w:name="_Adults’_health_and"/>
      <w:bookmarkEnd w:id="21"/>
    </w:p>
    <w:p w:rsidR="00F330AD" w:rsidRDefault="00F330AD" w:rsidP="006A31AE">
      <w:pPr>
        <w:spacing w:after="0" w:line="240" w:lineRule="auto"/>
        <w:outlineLvl w:val="0"/>
        <w:rPr>
          <w:rFonts w:ascii="Arial" w:eastAsia="Times New Roman" w:hAnsi="Arial" w:cs="Arial"/>
          <w:b/>
          <w:bCs/>
          <w:color w:val="701471"/>
          <w:sz w:val="28"/>
          <w:szCs w:val="24"/>
          <w:lang w:eastAsia="en-GB"/>
        </w:rPr>
      </w:pPr>
    </w:p>
    <w:p w:rsidR="00317984" w:rsidRDefault="00317984" w:rsidP="006A31AE">
      <w:pPr>
        <w:spacing w:after="0" w:line="240" w:lineRule="auto"/>
        <w:outlineLvl w:val="0"/>
        <w:rPr>
          <w:rFonts w:ascii="Arial" w:eastAsia="Times New Roman" w:hAnsi="Arial" w:cs="Arial"/>
          <w:b/>
          <w:bCs/>
          <w:color w:val="701471"/>
          <w:sz w:val="28"/>
          <w:szCs w:val="24"/>
          <w:lang w:eastAsia="en-GB"/>
        </w:rPr>
      </w:pPr>
    </w:p>
    <w:p w:rsidR="00D648CA" w:rsidRDefault="00D648CA"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264977" w:rsidP="006A31AE">
      <w:pPr>
        <w:spacing w:after="0" w:line="240" w:lineRule="auto"/>
        <w:outlineLvl w:val="0"/>
        <w:rPr>
          <w:rFonts w:ascii="Arial" w:eastAsia="Times New Roman" w:hAnsi="Arial" w:cs="Arial"/>
          <w:b/>
          <w:bCs/>
          <w:color w:val="701471"/>
          <w:sz w:val="28"/>
          <w:szCs w:val="24"/>
          <w:lang w:eastAsia="en-GB"/>
        </w:rPr>
      </w:pPr>
      <w:r>
        <w:rPr>
          <w:rFonts w:ascii="Arial" w:eastAsia="Times New Roman" w:hAnsi="Arial" w:cs="Arial"/>
          <w:b/>
          <w:bCs/>
          <w:color w:val="701471"/>
          <w:sz w:val="28"/>
          <w:szCs w:val="24"/>
          <w:lang w:eastAsia="en-GB"/>
        </w:rPr>
        <w:t>Ad</w:t>
      </w:r>
      <w:r w:rsidR="006A31AE" w:rsidRPr="006A31AE">
        <w:rPr>
          <w:rFonts w:ascii="Arial" w:eastAsia="Times New Roman" w:hAnsi="Arial" w:cs="Arial"/>
          <w:b/>
          <w:bCs/>
          <w:color w:val="701471"/>
          <w:sz w:val="28"/>
          <w:szCs w:val="24"/>
          <w:lang w:eastAsia="en-GB"/>
        </w:rPr>
        <w:t>ults’ health and lifestyle</w:t>
      </w:r>
    </w:p>
    <w:p w:rsidR="006A31AE" w:rsidRPr="006A31AE" w:rsidRDefault="006A31AE" w:rsidP="006A31AE">
      <w:pPr>
        <w:spacing w:after="0" w:line="276" w:lineRule="auto"/>
        <w:rPr>
          <w:rFonts w:ascii="Arial" w:eastAsia="Calibri" w:hAnsi="Arial" w:cs="Arial"/>
          <w:sz w:val="24"/>
          <w:szCs w:val="24"/>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Excess weight</w:t>
      </w:r>
    </w:p>
    <w:p w:rsidR="006A31AE" w:rsidRPr="006A31AE" w:rsidRDefault="006A31AE" w:rsidP="00E874F1">
      <w:pPr>
        <w:spacing w:after="0" w:line="240" w:lineRule="auto"/>
        <w:rPr>
          <w:rFonts w:ascii="Arial" w:eastAsia="Calibri" w:hAnsi="Arial" w:cs="Arial"/>
          <w:sz w:val="24"/>
          <w:szCs w:val="24"/>
          <w:lang w:eastAsia="en-GB"/>
        </w:rPr>
      </w:pPr>
    </w:p>
    <w:p w:rsidR="00FB4630" w:rsidRDefault="006A31AE" w:rsidP="00E874F1">
      <w:pPr>
        <w:spacing w:after="0" w:line="240"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The proportion of adults aged 18 years and over with excess weight in Croydon was approximately 59.0% for the </w:t>
      </w:r>
      <w:r w:rsidR="00E874F1">
        <w:rPr>
          <w:rFonts w:ascii="Arial" w:eastAsia="Calibri" w:hAnsi="Arial" w:cs="Arial"/>
          <w:sz w:val="24"/>
          <w:szCs w:val="24"/>
          <w:lang w:eastAsia="en-GB"/>
        </w:rPr>
        <w:t xml:space="preserve">period </w:t>
      </w:r>
    </w:p>
    <w:p w:rsidR="006A31AE" w:rsidRPr="006A31AE" w:rsidRDefault="006A31AE" w:rsidP="00E874F1">
      <w:pPr>
        <w:spacing w:after="0" w:line="240"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2016/2017. </w:t>
      </w:r>
      <w:r w:rsidR="00FB4630">
        <w:rPr>
          <w:rFonts w:ascii="Arial" w:eastAsia="Calibri" w:hAnsi="Arial" w:cs="Arial"/>
          <w:sz w:val="24"/>
          <w:szCs w:val="24"/>
          <w:lang w:eastAsia="en-GB"/>
        </w:rPr>
        <w:t xml:space="preserve">This is a reduction on the previous year’s figure of 65.4%.  </w:t>
      </w:r>
      <w:r w:rsidRPr="006A31AE">
        <w:rPr>
          <w:rFonts w:ascii="Arial" w:eastAsia="Calibri" w:hAnsi="Arial" w:cs="Arial"/>
          <w:sz w:val="24"/>
          <w:szCs w:val="24"/>
          <w:lang w:eastAsia="en-GB"/>
        </w:rPr>
        <w:t xml:space="preserve">The average across London </w:t>
      </w:r>
      <w:r w:rsidR="00FB4630">
        <w:rPr>
          <w:rFonts w:ascii="Arial" w:eastAsia="Calibri" w:hAnsi="Arial" w:cs="Arial"/>
          <w:sz w:val="24"/>
          <w:szCs w:val="24"/>
          <w:lang w:eastAsia="en-GB"/>
        </w:rPr>
        <w:t xml:space="preserve">in 2016/2017 </w:t>
      </w:r>
      <w:r w:rsidRPr="006A31AE">
        <w:rPr>
          <w:rFonts w:ascii="Arial" w:eastAsia="Calibri" w:hAnsi="Arial" w:cs="Arial"/>
          <w:sz w:val="24"/>
          <w:szCs w:val="24"/>
          <w:lang w:eastAsia="en-GB"/>
        </w:rPr>
        <w:t>was only 55.2% and the national average figure was higher at 61.3%.</w:t>
      </w:r>
      <w:r w:rsidRPr="006A31AE">
        <w:rPr>
          <w:rFonts w:ascii="Arial" w:eastAsia="Calibri" w:hAnsi="Arial" w:cs="Arial"/>
          <w:sz w:val="24"/>
          <w:szCs w:val="24"/>
          <w:vertAlign w:val="superscript"/>
          <w:lang w:eastAsia="en-GB"/>
        </w:rPr>
        <w:footnoteReference w:id="22"/>
      </w:r>
    </w:p>
    <w:p w:rsidR="006A31AE" w:rsidRDefault="006A31AE" w:rsidP="006A31AE">
      <w:pPr>
        <w:spacing w:after="0" w:line="276" w:lineRule="auto"/>
        <w:rPr>
          <w:rFonts w:ascii="Arial" w:eastAsia="Calibri" w:hAnsi="Arial" w:cs="Arial"/>
          <w:sz w:val="24"/>
          <w:szCs w:val="24"/>
          <w:lang w:eastAsia="en-GB"/>
        </w:rPr>
      </w:pPr>
    </w:p>
    <w:p w:rsidR="00F330AD" w:rsidRDefault="00F330AD" w:rsidP="006A31AE">
      <w:pPr>
        <w:spacing w:after="0" w:line="276" w:lineRule="auto"/>
        <w:rPr>
          <w:rFonts w:ascii="Arial" w:eastAsia="Calibri" w:hAnsi="Arial" w:cs="Arial"/>
          <w:sz w:val="24"/>
          <w:szCs w:val="24"/>
          <w:lang w:eastAsia="en-GB"/>
        </w:rPr>
      </w:pPr>
    </w:p>
    <w:p w:rsidR="00F330AD" w:rsidRDefault="00F330AD" w:rsidP="006A31AE">
      <w:pPr>
        <w:spacing w:after="0" w:line="276" w:lineRule="auto"/>
        <w:rPr>
          <w:rFonts w:ascii="Arial" w:eastAsia="Calibri" w:hAnsi="Arial" w:cs="Arial"/>
          <w:sz w:val="24"/>
          <w:szCs w:val="24"/>
          <w:lang w:eastAsia="en-GB"/>
        </w:rPr>
      </w:pPr>
    </w:p>
    <w:p w:rsidR="00F330AD" w:rsidRDefault="00F330AD" w:rsidP="006A31AE">
      <w:pPr>
        <w:spacing w:after="0" w:line="276" w:lineRule="auto"/>
        <w:rPr>
          <w:rFonts w:ascii="Arial" w:eastAsia="Calibri" w:hAnsi="Arial" w:cs="Arial"/>
          <w:sz w:val="24"/>
          <w:szCs w:val="24"/>
          <w:lang w:eastAsia="en-GB"/>
        </w:rPr>
      </w:pPr>
    </w:p>
    <w:p w:rsidR="00F330AD" w:rsidRDefault="00F330AD" w:rsidP="004439DD">
      <w:pPr>
        <w:spacing w:after="0" w:line="240" w:lineRule="auto"/>
        <w:rPr>
          <w:rFonts w:ascii="Arial" w:eastAsia="Calibri" w:hAnsi="Arial" w:cs="Arial"/>
          <w:sz w:val="24"/>
          <w:szCs w:val="24"/>
          <w:u w:val="single"/>
          <w:lang w:eastAsia="en-GB"/>
        </w:rPr>
      </w:pPr>
    </w:p>
    <w:p w:rsidR="00FB4630" w:rsidRDefault="006A31AE" w:rsidP="004439DD">
      <w:pPr>
        <w:spacing w:after="0" w:line="240" w:lineRule="auto"/>
        <w:rPr>
          <w:rFonts w:ascii="Arial" w:eastAsia="Calibri" w:hAnsi="Arial" w:cs="Arial"/>
          <w:sz w:val="24"/>
          <w:szCs w:val="24"/>
          <w:u w:val="single"/>
          <w:lang w:eastAsia="en-GB"/>
        </w:rPr>
      </w:pPr>
      <w:r w:rsidRPr="00FB4630">
        <w:rPr>
          <w:rFonts w:ascii="Arial" w:eastAsia="Calibri" w:hAnsi="Arial" w:cs="Arial"/>
          <w:sz w:val="24"/>
          <w:szCs w:val="24"/>
          <w:u w:val="single"/>
          <w:lang w:eastAsia="en-GB"/>
        </w:rPr>
        <w:t>Figure 8 – Proportion of adults with excess weight 201</w:t>
      </w:r>
      <w:r w:rsidR="00FB4630" w:rsidRPr="00FB4630">
        <w:rPr>
          <w:rFonts w:ascii="Arial" w:eastAsia="Calibri" w:hAnsi="Arial" w:cs="Arial"/>
          <w:sz w:val="24"/>
          <w:szCs w:val="24"/>
          <w:u w:val="single"/>
          <w:lang w:eastAsia="en-GB"/>
        </w:rPr>
        <w:t>6/2017</w:t>
      </w:r>
    </w:p>
    <w:p w:rsidR="006A31AE" w:rsidRPr="00FB4630" w:rsidRDefault="00FB4630" w:rsidP="00F330AD">
      <w:pPr>
        <w:spacing w:after="0" w:line="240" w:lineRule="auto"/>
        <w:rPr>
          <w:rFonts w:ascii="Arial" w:eastAsia="Calibri" w:hAnsi="Arial" w:cs="Arial"/>
          <w:sz w:val="24"/>
          <w:szCs w:val="24"/>
          <w:u w:val="single"/>
          <w:lang w:eastAsia="en-GB"/>
        </w:rPr>
      </w:pPr>
      <w:r>
        <w:rPr>
          <w:noProof/>
          <w:lang w:eastAsia="en-GB"/>
        </w:rPr>
        <w:drawing>
          <wp:inline distT="0" distB="0" distL="0" distR="0" wp14:anchorId="5D20B303" wp14:editId="5BE765FE">
            <wp:extent cx="4267200" cy="2156460"/>
            <wp:effectExtent l="0" t="0" r="0" b="15240"/>
            <wp:docPr id="13969" name="Chart 139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rsidR="006A31AE" w:rsidRPr="00FB4630" w:rsidRDefault="006A31AE" w:rsidP="00F330AD">
      <w:pPr>
        <w:spacing w:before="120" w:after="0" w:line="240" w:lineRule="auto"/>
        <w:rPr>
          <w:rFonts w:ascii="Arial" w:eastAsia="Calibri" w:hAnsi="Arial" w:cs="Arial"/>
          <w:sz w:val="20"/>
          <w:szCs w:val="20"/>
        </w:rPr>
      </w:pPr>
      <w:r w:rsidRPr="00FB4630">
        <w:rPr>
          <w:rFonts w:ascii="Arial" w:eastAsia="Calibri" w:hAnsi="Arial" w:cs="Arial"/>
          <w:sz w:val="20"/>
          <w:szCs w:val="20"/>
        </w:rPr>
        <w:t>Source: PHE Health Profiles</w:t>
      </w:r>
    </w:p>
    <w:p w:rsidR="00FC459D" w:rsidRDefault="00FC459D" w:rsidP="006A31AE">
      <w:pPr>
        <w:spacing w:after="0" w:line="240" w:lineRule="auto"/>
        <w:outlineLvl w:val="1"/>
        <w:rPr>
          <w:rFonts w:ascii="Arial" w:eastAsia="Times New Roman" w:hAnsi="Arial" w:cs="Arial"/>
          <w:bCs/>
          <w:color w:val="006600"/>
          <w:sz w:val="28"/>
          <w:szCs w:val="24"/>
          <w:lang w:eastAsia="en-GB"/>
        </w:rPr>
      </w:pPr>
    </w:p>
    <w:p w:rsidR="00A23138" w:rsidRDefault="00A23138" w:rsidP="006A31AE">
      <w:pPr>
        <w:spacing w:after="0" w:line="240" w:lineRule="auto"/>
        <w:outlineLvl w:val="1"/>
        <w:rPr>
          <w:rFonts w:ascii="Arial" w:eastAsia="Times New Roman" w:hAnsi="Arial" w:cs="Arial"/>
          <w:bCs/>
          <w:color w:val="006600"/>
          <w:sz w:val="28"/>
          <w:szCs w:val="24"/>
          <w:lang w:eastAsia="en-GB"/>
        </w:rPr>
      </w:pPr>
    </w:p>
    <w:p w:rsidR="00F330AD" w:rsidRDefault="00F330AD" w:rsidP="006A31AE">
      <w:pPr>
        <w:spacing w:after="0" w:line="240" w:lineRule="auto"/>
        <w:outlineLvl w:val="1"/>
        <w:rPr>
          <w:rFonts w:ascii="Arial" w:eastAsia="Times New Roman" w:hAnsi="Arial" w:cs="Arial"/>
          <w:bCs/>
          <w:color w:val="006600"/>
          <w:sz w:val="28"/>
          <w:szCs w:val="24"/>
          <w:lang w:eastAsia="en-GB"/>
        </w:rPr>
      </w:pPr>
    </w:p>
    <w:p w:rsidR="006A31AE" w:rsidRDefault="006A31AE" w:rsidP="00E874F1">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Physical activity</w:t>
      </w:r>
    </w:p>
    <w:p w:rsidR="00A23138" w:rsidRDefault="00A23138" w:rsidP="00E874F1">
      <w:pPr>
        <w:spacing w:after="0" w:line="240" w:lineRule="auto"/>
        <w:outlineLvl w:val="1"/>
        <w:rPr>
          <w:rFonts w:ascii="Arial" w:eastAsia="Times New Roman" w:hAnsi="Arial" w:cs="Arial"/>
          <w:b/>
          <w:bCs/>
          <w:color w:val="00B050"/>
          <w:sz w:val="28"/>
          <w:szCs w:val="24"/>
          <w:lang w:eastAsia="en-GB"/>
        </w:rPr>
      </w:pPr>
    </w:p>
    <w:p w:rsidR="00A23138" w:rsidRPr="00A23138" w:rsidRDefault="00A23138" w:rsidP="00A23138">
      <w:pPr>
        <w:spacing w:after="0" w:line="240" w:lineRule="auto"/>
        <w:rPr>
          <w:rFonts w:ascii="Arial" w:eastAsia="Calibri" w:hAnsi="Arial" w:cs="Arial"/>
          <w:sz w:val="24"/>
          <w:szCs w:val="24"/>
          <w:lang w:eastAsia="en-GB"/>
        </w:rPr>
      </w:pPr>
      <w:r w:rsidRPr="00A23138">
        <w:rPr>
          <w:rFonts w:ascii="Arial" w:eastAsia="Calibri" w:hAnsi="Arial" w:cs="Arial"/>
          <w:sz w:val="24"/>
          <w:szCs w:val="24"/>
          <w:lang w:eastAsia="en-GB"/>
        </w:rPr>
        <w:t>The Active Lives survey from 2016/2017 suggests that 64.2% of adults aged 19 and over in Croydon achieved 150 minutes of moderate intensity exercise per week in line with the  national guidelines. This is similar to both the national figure of 64.9% and the regional average of 64.6%.</w:t>
      </w:r>
    </w:p>
    <w:p w:rsidR="00A23138" w:rsidRDefault="00A23138" w:rsidP="00E874F1">
      <w:pPr>
        <w:spacing w:after="0" w:line="240" w:lineRule="auto"/>
        <w:outlineLvl w:val="1"/>
        <w:rPr>
          <w:rFonts w:ascii="Arial" w:eastAsia="Times New Roman" w:hAnsi="Arial" w:cs="Arial"/>
          <w:b/>
          <w:bCs/>
          <w:color w:val="00B050"/>
          <w:sz w:val="28"/>
          <w:szCs w:val="24"/>
          <w:lang w:eastAsia="en-GB"/>
        </w:rPr>
      </w:pPr>
    </w:p>
    <w:p w:rsidR="00A23138" w:rsidRDefault="00A23138" w:rsidP="00E874F1">
      <w:pPr>
        <w:spacing w:after="0" w:line="240" w:lineRule="auto"/>
        <w:outlineLvl w:val="1"/>
        <w:rPr>
          <w:rFonts w:ascii="Arial" w:eastAsia="Times New Roman" w:hAnsi="Arial" w:cs="Arial"/>
          <w:b/>
          <w:bCs/>
          <w:color w:val="00B050"/>
          <w:sz w:val="28"/>
          <w:szCs w:val="24"/>
          <w:lang w:eastAsia="en-GB"/>
        </w:rPr>
      </w:pPr>
    </w:p>
    <w:p w:rsidR="00A23138" w:rsidRDefault="00A23138" w:rsidP="00E874F1">
      <w:pPr>
        <w:spacing w:after="0" w:line="240" w:lineRule="auto"/>
        <w:outlineLvl w:val="1"/>
        <w:rPr>
          <w:rFonts w:ascii="Arial" w:eastAsia="Times New Roman" w:hAnsi="Arial" w:cs="Arial"/>
          <w:b/>
          <w:bCs/>
          <w:color w:val="00B050"/>
          <w:sz w:val="28"/>
          <w:szCs w:val="24"/>
          <w:lang w:eastAsia="en-GB"/>
        </w:rPr>
      </w:pPr>
    </w:p>
    <w:p w:rsidR="00A23138" w:rsidRDefault="00A23138" w:rsidP="00E874F1">
      <w:pPr>
        <w:spacing w:after="0" w:line="240" w:lineRule="auto"/>
        <w:outlineLvl w:val="1"/>
        <w:rPr>
          <w:rFonts w:ascii="Arial" w:eastAsia="Times New Roman" w:hAnsi="Arial" w:cs="Arial"/>
          <w:b/>
          <w:bCs/>
          <w:color w:val="00B050"/>
          <w:sz w:val="28"/>
          <w:szCs w:val="24"/>
          <w:lang w:eastAsia="en-GB"/>
        </w:rPr>
      </w:pPr>
    </w:p>
    <w:p w:rsidR="00A23138" w:rsidRDefault="00A23138" w:rsidP="00E874F1">
      <w:pPr>
        <w:spacing w:after="0" w:line="240" w:lineRule="auto"/>
        <w:outlineLvl w:val="1"/>
        <w:rPr>
          <w:rFonts w:ascii="Arial" w:eastAsia="Times New Roman" w:hAnsi="Arial" w:cs="Arial"/>
          <w:b/>
          <w:bCs/>
          <w:color w:val="00B050"/>
          <w:sz w:val="28"/>
          <w:szCs w:val="24"/>
          <w:lang w:eastAsia="en-GB"/>
        </w:rPr>
      </w:pPr>
    </w:p>
    <w:p w:rsidR="006A31AE" w:rsidRDefault="006A31AE" w:rsidP="00E874F1">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Smoking prevalence</w:t>
      </w:r>
    </w:p>
    <w:p w:rsidR="00E874F1" w:rsidRPr="00E874F1" w:rsidRDefault="00E874F1" w:rsidP="00E874F1">
      <w:pPr>
        <w:spacing w:after="0" w:line="240" w:lineRule="auto"/>
        <w:outlineLvl w:val="1"/>
        <w:rPr>
          <w:rFonts w:ascii="Arial" w:eastAsia="Times New Roman" w:hAnsi="Arial" w:cs="Arial"/>
          <w:b/>
          <w:bCs/>
          <w:color w:val="00B050"/>
          <w:sz w:val="28"/>
          <w:szCs w:val="24"/>
          <w:lang w:eastAsia="en-GB"/>
        </w:rPr>
      </w:pPr>
    </w:p>
    <w:p w:rsidR="006A31AE" w:rsidRPr="00FC32DA"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proportion of adults aged 18 and over in Croydon who were self-reported smokers, in the 2017 Annual Population Survey, was approximately 12.0%</w:t>
      </w:r>
      <w:r w:rsidR="00D16AC6">
        <w:rPr>
          <w:rFonts w:ascii="Arial" w:eastAsia="Calibri" w:hAnsi="Arial" w:cs="Arial"/>
          <w:sz w:val="24"/>
          <w:szCs w:val="24"/>
          <w:lang w:eastAsia="en-GB"/>
        </w:rPr>
        <w:t xml:space="preserve">.  This was lower than both </w:t>
      </w:r>
      <w:r w:rsidRPr="006A31AE">
        <w:rPr>
          <w:rFonts w:ascii="Arial" w:eastAsia="Calibri" w:hAnsi="Arial" w:cs="Arial"/>
          <w:sz w:val="24"/>
          <w:szCs w:val="24"/>
          <w:lang w:eastAsia="en-GB"/>
        </w:rPr>
        <w:t xml:space="preserve">the regional average of 14.6% and the national average of 14.9%. </w:t>
      </w:r>
      <w:r w:rsidR="00D16AC6">
        <w:rPr>
          <w:rFonts w:ascii="Arial" w:eastAsia="Calibri" w:hAnsi="Arial" w:cs="Arial"/>
          <w:sz w:val="24"/>
          <w:szCs w:val="24"/>
          <w:lang w:eastAsia="en-GB"/>
        </w:rPr>
        <w:t xml:space="preserve">For Croydon it was also a slight decrease on the previous </w:t>
      </w:r>
      <w:r w:rsidRPr="006A31AE">
        <w:rPr>
          <w:rFonts w:ascii="Arial" w:eastAsia="Calibri" w:hAnsi="Arial" w:cs="Arial"/>
          <w:sz w:val="24"/>
          <w:szCs w:val="24"/>
          <w:lang w:eastAsia="en-GB"/>
        </w:rPr>
        <w:t xml:space="preserve">year when the </w:t>
      </w:r>
      <w:r w:rsidRPr="00FC32DA">
        <w:rPr>
          <w:rFonts w:ascii="Arial" w:eastAsia="Calibri" w:hAnsi="Arial" w:cs="Arial"/>
          <w:sz w:val="24"/>
          <w:szCs w:val="24"/>
          <w:lang w:eastAsia="en-GB"/>
        </w:rPr>
        <w:t>proportion was 13.2%.</w:t>
      </w:r>
    </w:p>
    <w:p w:rsidR="00540DCD" w:rsidRPr="00E874F1" w:rsidRDefault="00540DCD" w:rsidP="00540DCD">
      <w:pPr>
        <w:spacing w:after="0" w:line="240" w:lineRule="auto"/>
        <w:outlineLvl w:val="1"/>
        <w:rPr>
          <w:rFonts w:ascii="Arial" w:eastAsia="Times New Roman" w:hAnsi="Arial" w:cs="Arial"/>
          <w:b/>
          <w:bCs/>
          <w:color w:val="00B050"/>
          <w:sz w:val="28"/>
          <w:szCs w:val="24"/>
          <w:lang w:eastAsia="en-GB"/>
        </w:rPr>
      </w:pPr>
    </w:p>
    <w:p w:rsid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Flu vaccinations</w:t>
      </w:r>
    </w:p>
    <w:p w:rsidR="00E874F1" w:rsidRPr="006A31AE" w:rsidRDefault="00E874F1" w:rsidP="006A31AE">
      <w:pPr>
        <w:spacing w:after="0" w:line="240" w:lineRule="auto"/>
        <w:outlineLvl w:val="1"/>
        <w:rPr>
          <w:rFonts w:ascii="Arial" w:eastAsia="Times New Roman" w:hAnsi="Arial" w:cs="Arial"/>
          <w:b/>
          <w:bCs/>
          <w:color w:val="00B050"/>
          <w:sz w:val="28"/>
          <w:szCs w:val="24"/>
          <w:lang w:eastAsia="en-GB"/>
        </w:rPr>
      </w:pPr>
    </w:p>
    <w:p w:rsidR="006A31AE" w:rsidRDefault="006A31AE" w:rsidP="006A31AE">
      <w:pPr>
        <w:spacing w:after="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Croydon has seen a relatively low coverage of flu vaccinations over the last seven years Croydon - below the national average </w:t>
      </w:r>
      <w:r w:rsidR="00FC459D">
        <w:rPr>
          <w:rFonts w:ascii="Arial" w:eastAsia="Calibri" w:hAnsi="Arial" w:cs="Arial"/>
          <w:sz w:val="24"/>
          <w:szCs w:val="24"/>
          <w:lang w:eastAsia="en-GB"/>
        </w:rPr>
        <w:t xml:space="preserve">for those aged over 65 years.  </w:t>
      </w:r>
    </w:p>
    <w:p w:rsidR="00FC459D" w:rsidRPr="006A31AE" w:rsidRDefault="00FC459D" w:rsidP="006A31AE">
      <w:pPr>
        <w:spacing w:after="0" w:line="276" w:lineRule="auto"/>
        <w:rPr>
          <w:rFonts w:ascii="Arial" w:eastAsia="Calibri" w:hAnsi="Arial" w:cs="Arial"/>
          <w:sz w:val="24"/>
          <w:szCs w:val="24"/>
          <w:lang w:eastAsia="en-GB"/>
        </w:rPr>
      </w:pPr>
    </w:p>
    <w:p w:rsidR="00540DCD" w:rsidRDefault="00540DCD" w:rsidP="006A31AE">
      <w:pPr>
        <w:spacing w:after="0" w:line="276" w:lineRule="auto"/>
        <w:rPr>
          <w:rFonts w:ascii="Arial" w:eastAsia="Calibri" w:hAnsi="Arial" w:cs="Arial"/>
          <w:sz w:val="24"/>
          <w:szCs w:val="24"/>
          <w:lang w:eastAsia="en-GB"/>
        </w:rPr>
      </w:pPr>
    </w:p>
    <w:p w:rsidR="00FC459D" w:rsidRDefault="006A31AE" w:rsidP="006A31AE">
      <w:pPr>
        <w:spacing w:after="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In 2017/2018, 65.9% of those aged over 65 received a flu jab compared to 66.9% in London and 72.6% nationally. Around </w:t>
      </w:r>
    </w:p>
    <w:p w:rsidR="00FC32DA" w:rsidRDefault="006A31AE" w:rsidP="006A31AE">
      <w:pPr>
        <w:spacing w:after="0" w:line="276" w:lineRule="auto"/>
        <w:rPr>
          <w:rFonts w:ascii="Arial" w:eastAsia="Calibri" w:hAnsi="Arial" w:cs="Arial"/>
          <w:sz w:val="24"/>
          <w:szCs w:val="24"/>
          <w:lang w:eastAsia="en-GB"/>
        </w:rPr>
      </w:pPr>
      <w:r w:rsidRPr="006A31AE">
        <w:rPr>
          <w:rFonts w:ascii="Arial" w:eastAsia="Calibri" w:hAnsi="Arial" w:cs="Arial"/>
          <w:sz w:val="24"/>
          <w:szCs w:val="24"/>
          <w:lang w:eastAsia="en-GB"/>
        </w:rPr>
        <w:t>42.3% of “at risk” individuals aged 6 months to 64 years received the flu vaccination compared to 45.4% in London and 48.9% in England.</w:t>
      </w:r>
      <w:r w:rsidRPr="006A31AE">
        <w:rPr>
          <w:rFonts w:ascii="Arial" w:eastAsia="Calibri" w:hAnsi="Arial" w:cs="Arial"/>
          <w:sz w:val="24"/>
          <w:szCs w:val="24"/>
          <w:vertAlign w:val="superscript"/>
          <w:lang w:eastAsia="en-GB"/>
        </w:rPr>
        <w:footnoteReference w:id="23"/>
      </w:r>
    </w:p>
    <w:p w:rsidR="00540DCD" w:rsidRDefault="00540DCD" w:rsidP="006A31AE">
      <w:pPr>
        <w:spacing w:after="0" w:line="276" w:lineRule="auto"/>
        <w:rPr>
          <w:rFonts w:ascii="Arial" w:eastAsia="Calibri" w:hAnsi="Arial" w:cs="Arial"/>
          <w:sz w:val="24"/>
          <w:szCs w:val="24"/>
          <w:lang w:eastAsia="en-GB"/>
        </w:rPr>
      </w:pPr>
    </w:p>
    <w:p w:rsidR="00FC32DA" w:rsidRDefault="00FC32DA" w:rsidP="006A31AE">
      <w:pPr>
        <w:spacing w:after="0" w:line="276" w:lineRule="auto"/>
        <w:rPr>
          <w:rFonts w:ascii="Arial" w:eastAsia="Calibri" w:hAnsi="Arial" w:cs="Arial"/>
          <w:sz w:val="24"/>
          <w:szCs w:val="24"/>
          <w:lang w:eastAsia="en-GB"/>
        </w:rPr>
      </w:pPr>
    </w:p>
    <w:p w:rsidR="00F330AD" w:rsidRDefault="00F330AD"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Wellbeing</w:t>
      </w:r>
    </w:p>
    <w:p w:rsidR="006A31AE" w:rsidRPr="00385C64" w:rsidRDefault="006A31AE" w:rsidP="006A31AE">
      <w:pPr>
        <w:spacing w:after="0" w:line="276" w:lineRule="auto"/>
        <w:rPr>
          <w:rFonts w:ascii="Arial" w:eastAsia="Calibri" w:hAnsi="Arial" w:cs="Arial"/>
          <w:sz w:val="24"/>
          <w:szCs w:val="24"/>
        </w:rPr>
      </w:pPr>
    </w:p>
    <w:p w:rsidR="006A31AE" w:rsidRPr="006A31AE" w:rsidRDefault="006A31AE" w:rsidP="00FC459D">
      <w:pPr>
        <w:spacing w:after="0" w:line="240" w:lineRule="auto"/>
        <w:rPr>
          <w:rFonts w:ascii="Arial" w:eastAsia="Calibri" w:hAnsi="Arial" w:cs="Arial"/>
          <w:sz w:val="24"/>
          <w:szCs w:val="24"/>
        </w:rPr>
      </w:pPr>
      <w:r w:rsidRPr="00385C64">
        <w:rPr>
          <w:rFonts w:ascii="Arial" w:eastAsia="Calibri" w:hAnsi="Arial" w:cs="Arial"/>
          <w:sz w:val="24"/>
          <w:szCs w:val="24"/>
        </w:rPr>
        <w:t xml:space="preserve">The </w:t>
      </w:r>
      <w:r w:rsidR="00335B9E">
        <w:rPr>
          <w:rFonts w:ascii="Arial" w:eastAsia="Calibri" w:hAnsi="Arial" w:cs="Arial"/>
          <w:sz w:val="24"/>
          <w:szCs w:val="24"/>
        </w:rPr>
        <w:t xml:space="preserve">ONS </w:t>
      </w:r>
      <w:r w:rsidRPr="00385C64">
        <w:rPr>
          <w:rFonts w:ascii="Arial" w:eastAsia="Calibri" w:hAnsi="Arial" w:cs="Arial"/>
          <w:sz w:val="24"/>
          <w:szCs w:val="24"/>
        </w:rPr>
        <w:t xml:space="preserve">Annual </w:t>
      </w:r>
      <w:r w:rsidRPr="006A31AE">
        <w:rPr>
          <w:rFonts w:ascii="Arial" w:eastAsia="Calibri" w:hAnsi="Arial" w:cs="Arial"/>
          <w:sz w:val="24"/>
          <w:szCs w:val="24"/>
        </w:rPr>
        <w:t>Population Survey asks questions relating to personal wellbeing. Participants are asked to score how satisfied they feel with their life overall; to what extent they feel the things they do in their life are worthwhile; how happy they felt yesterday; and how anxious they felt yesterday. There is a degree of uncertainty in the estimates produced for local authorities due to the sample sizes involved. However, the latest data (2016/2017) suggests that Croydon residents have</w:t>
      </w:r>
      <w:r w:rsidR="00FC459D" w:rsidRPr="00FC459D">
        <w:rPr>
          <w:rFonts w:ascii="Arial" w:eastAsia="Calibri" w:hAnsi="Arial" w:cs="Arial"/>
          <w:sz w:val="24"/>
          <w:szCs w:val="24"/>
        </w:rPr>
        <w:t xml:space="preserve"> </w:t>
      </w:r>
      <w:r w:rsidR="00FC459D" w:rsidRPr="006A31AE">
        <w:rPr>
          <w:rFonts w:ascii="Arial" w:eastAsia="Calibri" w:hAnsi="Arial" w:cs="Arial"/>
          <w:sz w:val="24"/>
          <w:szCs w:val="24"/>
        </w:rPr>
        <w:t>similar personal wellbeing ratings than the regional and</w:t>
      </w:r>
      <w:r w:rsidR="00FC459D">
        <w:rPr>
          <w:rFonts w:ascii="Arial" w:eastAsia="Calibri" w:hAnsi="Arial" w:cs="Arial"/>
          <w:sz w:val="24"/>
          <w:szCs w:val="24"/>
        </w:rPr>
        <w:t xml:space="preserve"> </w:t>
      </w:r>
      <w:r w:rsidR="00FC459D" w:rsidRPr="006A31AE">
        <w:rPr>
          <w:rFonts w:ascii="Arial" w:eastAsia="Calibri" w:hAnsi="Arial" w:cs="Arial"/>
          <w:sz w:val="24"/>
          <w:szCs w:val="24"/>
        </w:rPr>
        <w:t>national averages.</w:t>
      </w:r>
      <w:r w:rsidR="00FC459D" w:rsidRPr="006A31AE">
        <w:rPr>
          <w:rFonts w:ascii="Arial" w:eastAsia="Calibri" w:hAnsi="Arial" w:cs="Arial"/>
          <w:sz w:val="24"/>
          <w:szCs w:val="24"/>
          <w:vertAlign w:val="superscript"/>
        </w:rPr>
        <w:footnoteReference w:id="24"/>
      </w:r>
      <w:r w:rsidR="00FC459D" w:rsidRPr="006A31AE">
        <w:rPr>
          <w:rFonts w:ascii="Arial" w:eastAsia="Calibri" w:hAnsi="Arial" w:cs="Arial"/>
          <w:sz w:val="24"/>
          <w:szCs w:val="24"/>
        </w:rPr>
        <w:t xml:space="preserve"> </w:t>
      </w:r>
      <w:r w:rsidRPr="006A31AE">
        <w:rPr>
          <w:rFonts w:ascii="Arial" w:eastAsia="Calibri" w:hAnsi="Arial" w:cs="Arial"/>
          <w:sz w:val="24"/>
          <w:szCs w:val="24"/>
        </w:rPr>
        <w:t xml:space="preserve"> similar personal wellbeing ratings than the regional and national averages.</w:t>
      </w:r>
      <w:r w:rsidRPr="006A31AE">
        <w:rPr>
          <w:rFonts w:ascii="Arial" w:eastAsia="Calibri" w:hAnsi="Arial" w:cs="Arial"/>
          <w:sz w:val="24"/>
          <w:szCs w:val="24"/>
          <w:vertAlign w:val="superscript"/>
        </w:rPr>
        <w:footnoteReference w:id="25"/>
      </w:r>
      <w:r w:rsidRPr="006A31AE">
        <w:rPr>
          <w:rFonts w:ascii="Arial" w:eastAsia="Calibri" w:hAnsi="Arial" w:cs="Arial"/>
          <w:sz w:val="24"/>
          <w:szCs w:val="24"/>
        </w:rPr>
        <w:t xml:space="preserve"> </w:t>
      </w:r>
    </w:p>
    <w:p w:rsidR="008D1CBF" w:rsidRDefault="008D1CBF" w:rsidP="006A31AE">
      <w:pPr>
        <w:spacing w:after="0" w:line="240" w:lineRule="auto"/>
        <w:outlineLvl w:val="0"/>
        <w:rPr>
          <w:rFonts w:ascii="Arial" w:eastAsia="Times New Roman" w:hAnsi="Arial" w:cs="Arial"/>
          <w:b/>
          <w:bCs/>
          <w:color w:val="701471"/>
          <w:sz w:val="28"/>
          <w:szCs w:val="24"/>
          <w:lang w:eastAsia="en-GB"/>
        </w:rPr>
      </w:pPr>
      <w:bookmarkStart w:id="22" w:name="_Disease_and_poor"/>
      <w:bookmarkEnd w:id="22"/>
    </w:p>
    <w:p w:rsidR="0006301F" w:rsidRDefault="0006301F" w:rsidP="006A31AE">
      <w:pPr>
        <w:spacing w:after="0" w:line="240" w:lineRule="auto"/>
        <w:outlineLvl w:val="0"/>
        <w:rPr>
          <w:rFonts w:ascii="Arial" w:eastAsia="Times New Roman" w:hAnsi="Arial" w:cs="Arial"/>
          <w:b/>
          <w:bCs/>
          <w:color w:val="701471"/>
          <w:sz w:val="28"/>
          <w:szCs w:val="24"/>
          <w:lang w:eastAsia="en-GB"/>
        </w:rPr>
      </w:pPr>
    </w:p>
    <w:p w:rsidR="0006301F" w:rsidRDefault="0006301F"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Disease and poor health</w:t>
      </w:r>
    </w:p>
    <w:p w:rsidR="006A31AE" w:rsidRPr="006A31AE" w:rsidRDefault="006A31AE" w:rsidP="006A31AE">
      <w:pPr>
        <w:spacing w:after="0" w:line="240" w:lineRule="auto"/>
        <w:outlineLvl w:val="1"/>
        <w:rPr>
          <w:rFonts w:ascii="Arial" w:eastAsia="Times New Roman" w:hAnsi="Arial" w:cs="Arial"/>
          <w:bCs/>
          <w:color w:val="00660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Mental health</w:t>
      </w:r>
    </w:p>
    <w:p w:rsidR="006A31AE" w:rsidRPr="006A31AE" w:rsidRDefault="006A31AE" w:rsidP="006A31AE">
      <w:pPr>
        <w:spacing w:after="0" w:line="276" w:lineRule="auto"/>
        <w:rPr>
          <w:rFonts w:ascii="Arial" w:eastAsia="Calibri" w:hAnsi="Arial" w:cs="Arial"/>
          <w:sz w:val="24"/>
          <w:szCs w:val="24"/>
        </w:rPr>
      </w:pPr>
    </w:p>
    <w:p w:rsidR="006A31AE" w:rsidRPr="00FC32DA" w:rsidRDefault="006A31AE" w:rsidP="006A31AE">
      <w:pPr>
        <w:spacing w:after="0" w:line="276" w:lineRule="auto"/>
        <w:rPr>
          <w:rFonts w:ascii="Arial" w:eastAsia="Calibri" w:hAnsi="Arial" w:cs="Arial"/>
          <w:sz w:val="24"/>
          <w:szCs w:val="24"/>
        </w:rPr>
      </w:pPr>
      <w:r w:rsidRPr="00FC32DA">
        <w:rPr>
          <w:rFonts w:ascii="Arial" w:eastAsia="Calibri" w:hAnsi="Arial" w:cs="Arial"/>
          <w:sz w:val="24"/>
          <w:szCs w:val="24"/>
        </w:rPr>
        <w:t xml:space="preserve">Approximately 1.11% of patients registered in Croydon in 2016/2017 had been diagnosed with a severe mental health condition. </w:t>
      </w:r>
      <w:r w:rsidR="0057529A" w:rsidRPr="00FC32DA">
        <w:rPr>
          <w:rFonts w:ascii="Arial" w:eastAsia="Calibri" w:hAnsi="Arial" w:cs="Arial"/>
          <w:sz w:val="24"/>
          <w:szCs w:val="24"/>
        </w:rPr>
        <w:t xml:space="preserve">This was </w:t>
      </w:r>
      <w:r w:rsidRPr="00FC32DA">
        <w:rPr>
          <w:rFonts w:ascii="Arial" w:eastAsia="Calibri" w:hAnsi="Arial" w:cs="Arial"/>
          <w:sz w:val="24"/>
          <w:szCs w:val="24"/>
        </w:rPr>
        <w:t>s higher than the national average of 0.92% but in line with the average for London of 1.10%.</w:t>
      </w:r>
    </w:p>
    <w:p w:rsidR="00E60D7C" w:rsidRPr="00FC32DA" w:rsidRDefault="00E60D7C" w:rsidP="006A31AE">
      <w:pPr>
        <w:spacing w:after="0" w:line="276" w:lineRule="auto"/>
        <w:rPr>
          <w:rFonts w:ascii="Arial" w:eastAsia="Calibri" w:hAnsi="Arial" w:cs="Arial"/>
          <w:sz w:val="24"/>
          <w:szCs w:val="24"/>
        </w:rPr>
      </w:pPr>
    </w:p>
    <w:p w:rsidR="002B2612" w:rsidRDefault="002B2612" w:rsidP="00E60D7C">
      <w:pPr>
        <w:spacing w:after="0" w:line="276" w:lineRule="auto"/>
        <w:rPr>
          <w:rFonts w:ascii="Arial" w:hAnsi="Arial" w:cs="Arial"/>
          <w:sz w:val="24"/>
          <w:szCs w:val="24"/>
        </w:rPr>
      </w:pPr>
    </w:p>
    <w:p w:rsidR="00E60D7C" w:rsidRDefault="00E60D7C" w:rsidP="008D1CBF">
      <w:pPr>
        <w:spacing w:after="0" w:line="240" w:lineRule="auto"/>
        <w:outlineLvl w:val="1"/>
        <w:rPr>
          <w:rFonts w:ascii="Arial" w:eastAsia="Times New Roman" w:hAnsi="Arial" w:cs="Arial"/>
          <w:b/>
          <w:bCs/>
          <w:color w:val="00B050"/>
          <w:sz w:val="28"/>
          <w:szCs w:val="24"/>
          <w:lang w:eastAsia="en-GB"/>
        </w:rPr>
      </w:pPr>
      <w:r w:rsidRPr="008D1CBF">
        <w:rPr>
          <w:rFonts w:ascii="Arial" w:eastAsia="Times New Roman" w:hAnsi="Arial" w:cs="Arial"/>
          <w:b/>
          <w:bCs/>
          <w:color w:val="00B050"/>
          <w:sz w:val="28"/>
          <w:szCs w:val="24"/>
          <w:lang w:eastAsia="en-GB"/>
        </w:rPr>
        <w:t>Dementia</w:t>
      </w:r>
    </w:p>
    <w:p w:rsidR="008D1CBF" w:rsidRPr="008D1CBF" w:rsidRDefault="008D1CBF" w:rsidP="008D1CBF">
      <w:pPr>
        <w:spacing w:after="0" w:line="240" w:lineRule="auto"/>
        <w:outlineLvl w:val="1"/>
        <w:rPr>
          <w:rFonts w:ascii="Arial" w:eastAsia="Times New Roman" w:hAnsi="Arial" w:cs="Arial"/>
          <w:b/>
          <w:bCs/>
          <w:color w:val="00B050"/>
          <w:sz w:val="28"/>
          <w:szCs w:val="24"/>
          <w:lang w:eastAsia="en-GB"/>
        </w:rPr>
      </w:pPr>
    </w:p>
    <w:p w:rsidR="0009135D" w:rsidRDefault="0057529A" w:rsidP="006A31AE">
      <w:pPr>
        <w:spacing w:after="0" w:line="276" w:lineRule="auto"/>
        <w:rPr>
          <w:rFonts w:ascii="Arial" w:hAnsi="Arial" w:cs="Arial"/>
          <w:color w:val="333333"/>
          <w:sz w:val="21"/>
          <w:szCs w:val="21"/>
        </w:rPr>
      </w:pPr>
      <w:r w:rsidRPr="00FC32DA">
        <w:rPr>
          <w:rFonts w:ascii="Arial" w:eastAsia="Calibri" w:hAnsi="Arial" w:cs="Arial"/>
          <w:sz w:val="24"/>
          <w:szCs w:val="24"/>
        </w:rPr>
        <w:t xml:space="preserve">The government’s challenge for dementia included a commitment </w:t>
      </w:r>
      <w:r w:rsidRPr="0057529A">
        <w:rPr>
          <w:rFonts w:ascii="Arial" w:eastAsia="Calibri" w:hAnsi="Arial" w:cs="Arial"/>
          <w:sz w:val="24"/>
          <w:szCs w:val="24"/>
        </w:rPr>
        <w:t>to increase the number of people living with dementia who have a formal diagnosis. The rationale being that a timely diagnosis enables people living with dementia, their carers and healthcare staff to plan accordingly and work together to improve health and care outcomes.</w:t>
      </w:r>
    </w:p>
    <w:p w:rsidR="0009135D" w:rsidRDefault="0009135D" w:rsidP="006A31AE">
      <w:pPr>
        <w:spacing w:after="0" w:line="276" w:lineRule="auto"/>
        <w:rPr>
          <w:rFonts w:ascii="Arial" w:hAnsi="Arial" w:cs="Arial"/>
          <w:color w:val="333333"/>
          <w:sz w:val="21"/>
          <w:szCs w:val="21"/>
        </w:rPr>
      </w:pPr>
    </w:p>
    <w:p w:rsidR="00335B9E" w:rsidRDefault="00335B9E" w:rsidP="006A31AE">
      <w:pPr>
        <w:spacing w:after="0" w:line="276" w:lineRule="auto"/>
        <w:rPr>
          <w:rFonts w:ascii="Arial" w:hAnsi="Arial" w:cs="Arial"/>
          <w:color w:val="333333"/>
          <w:sz w:val="21"/>
          <w:szCs w:val="21"/>
        </w:rPr>
      </w:pPr>
    </w:p>
    <w:p w:rsidR="002372F6" w:rsidRDefault="0009135D" w:rsidP="006A31AE">
      <w:pPr>
        <w:spacing w:after="0" w:line="276" w:lineRule="auto"/>
        <w:rPr>
          <w:rFonts w:ascii="Arial" w:eastAsia="Calibri" w:hAnsi="Arial" w:cs="Arial"/>
          <w:sz w:val="24"/>
          <w:szCs w:val="24"/>
        </w:rPr>
      </w:pPr>
      <w:r w:rsidRPr="0009135D">
        <w:rPr>
          <w:rFonts w:ascii="Arial" w:eastAsia="Calibri" w:hAnsi="Arial" w:cs="Arial"/>
          <w:sz w:val="24"/>
          <w:szCs w:val="24"/>
        </w:rPr>
        <w:t xml:space="preserve">The rate of persons aged 65 and over with a recorded diagnosis of dementia per person estimated to have dementia given the characteristics of the population and the age and </w:t>
      </w:r>
    </w:p>
    <w:p w:rsidR="006A31AE" w:rsidRDefault="0009135D" w:rsidP="006A31AE">
      <w:pPr>
        <w:spacing w:after="0" w:line="276" w:lineRule="auto"/>
        <w:rPr>
          <w:rFonts w:ascii="Arial" w:eastAsia="Calibri" w:hAnsi="Arial" w:cs="Arial"/>
          <w:sz w:val="24"/>
          <w:szCs w:val="24"/>
        </w:rPr>
      </w:pPr>
      <w:r w:rsidRPr="0009135D">
        <w:rPr>
          <w:rFonts w:ascii="Arial" w:eastAsia="Calibri" w:hAnsi="Arial" w:cs="Arial"/>
          <w:sz w:val="24"/>
          <w:szCs w:val="24"/>
        </w:rPr>
        <w:t>sex specific prevalence rates of the Cognitive Function and Ageing Study II, expressed as a percentage with 95% confidence intervals.</w:t>
      </w:r>
    </w:p>
    <w:p w:rsidR="0057529A" w:rsidRDefault="0057529A" w:rsidP="006A31AE">
      <w:pPr>
        <w:spacing w:after="0" w:line="276" w:lineRule="auto"/>
        <w:rPr>
          <w:rFonts w:ascii="Arial" w:eastAsia="Calibri" w:hAnsi="Arial" w:cs="Arial"/>
          <w:sz w:val="24"/>
          <w:szCs w:val="24"/>
        </w:rPr>
      </w:pPr>
    </w:p>
    <w:p w:rsidR="0006301F" w:rsidRDefault="0006301F" w:rsidP="006A31AE">
      <w:pPr>
        <w:spacing w:after="0" w:line="276" w:lineRule="auto"/>
        <w:rPr>
          <w:rFonts w:ascii="Arial" w:eastAsia="Calibri" w:hAnsi="Arial" w:cs="Arial"/>
          <w:sz w:val="24"/>
          <w:szCs w:val="24"/>
        </w:rPr>
      </w:pPr>
    </w:p>
    <w:p w:rsidR="00FC32DA" w:rsidRDefault="0057529A" w:rsidP="006A31AE">
      <w:pPr>
        <w:spacing w:after="0" w:line="276" w:lineRule="auto"/>
        <w:rPr>
          <w:rFonts w:ascii="Arial" w:eastAsia="Calibri" w:hAnsi="Arial" w:cs="Arial"/>
          <w:sz w:val="24"/>
          <w:szCs w:val="24"/>
        </w:rPr>
      </w:pPr>
      <w:r>
        <w:rPr>
          <w:rFonts w:ascii="Arial" w:eastAsia="Calibri" w:hAnsi="Arial" w:cs="Arial"/>
          <w:sz w:val="24"/>
          <w:szCs w:val="24"/>
        </w:rPr>
        <w:t>Over the first 2 years of estimation, the rate of diagnosis in Croydon has been slightly below the averages for London and England and in line with the target of 66.7.</w:t>
      </w:r>
    </w:p>
    <w:p w:rsidR="00E874F1" w:rsidRDefault="00E874F1" w:rsidP="006A31AE">
      <w:pPr>
        <w:spacing w:after="0" w:line="276" w:lineRule="auto"/>
        <w:rPr>
          <w:rFonts w:ascii="Arial" w:eastAsia="Calibri" w:hAnsi="Arial" w:cs="Arial"/>
          <w:sz w:val="24"/>
          <w:szCs w:val="24"/>
        </w:rPr>
      </w:pPr>
    </w:p>
    <w:p w:rsidR="00335B9E" w:rsidRDefault="00335B9E" w:rsidP="006A31AE">
      <w:pPr>
        <w:spacing w:after="0" w:line="276" w:lineRule="auto"/>
        <w:rPr>
          <w:rFonts w:ascii="Arial" w:eastAsia="Calibri" w:hAnsi="Arial" w:cs="Arial"/>
          <w:sz w:val="24"/>
          <w:szCs w:val="24"/>
        </w:rPr>
      </w:pPr>
    </w:p>
    <w:p w:rsidR="00335B9E" w:rsidRDefault="00335B9E" w:rsidP="006A31AE">
      <w:pPr>
        <w:spacing w:after="0" w:line="276" w:lineRule="auto"/>
        <w:rPr>
          <w:rFonts w:ascii="Arial" w:eastAsia="Calibri" w:hAnsi="Arial" w:cs="Arial"/>
          <w:sz w:val="24"/>
          <w:szCs w:val="24"/>
        </w:rPr>
      </w:pPr>
    </w:p>
    <w:p w:rsidR="00B82B10" w:rsidRDefault="00B82B10" w:rsidP="006A31AE">
      <w:pPr>
        <w:spacing w:after="0" w:line="276" w:lineRule="auto"/>
        <w:rPr>
          <w:rFonts w:ascii="Arial" w:eastAsia="Calibri" w:hAnsi="Arial" w:cs="Arial"/>
          <w:sz w:val="24"/>
          <w:szCs w:val="24"/>
        </w:rPr>
      </w:pPr>
    </w:p>
    <w:p w:rsidR="00B82B10" w:rsidRDefault="00B82B10" w:rsidP="006A31AE">
      <w:pPr>
        <w:spacing w:after="0" w:line="276" w:lineRule="auto"/>
        <w:rPr>
          <w:rFonts w:ascii="Arial" w:eastAsia="Calibri" w:hAnsi="Arial" w:cs="Arial"/>
          <w:sz w:val="24"/>
          <w:szCs w:val="24"/>
        </w:rPr>
      </w:pPr>
    </w:p>
    <w:p w:rsidR="00B82B10" w:rsidRDefault="00B82B10" w:rsidP="006A31AE">
      <w:pPr>
        <w:spacing w:after="0" w:line="276" w:lineRule="auto"/>
        <w:rPr>
          <w:rFonts w:ascii="Arial" w:eastAsia="Calibri" w:hAnsi="Arial" w:cs="Arial"/>
          <w:sz w:val="24"/>
          <w:szCs w:val="24"/>
        </w:rPr>
      </w:pPr>
    </w:p>
    <w:p w:rsidR="00B82B10" w:rsidRDefault="00B82B10" w:rsidP="006A31AE">
      <w:pPr>
        <w:spacing w:after="0" w:line="276" w:lineRule="auto"/>
        <w:rPr>
          <w:rFonts w:ascii="Arial" w:eastAsia="Calibri" w:hAnsi="Arial" w:cs="Arial"/>
          <w:sz w:val="24"/>
          <w:szCs w:val="24"/>
        </w:rPr>
      </w:pPr>
    </w:p>
    <w:p w:rsidR="00A23138" w:rsidRDefault="00A23138" w:rsidP="006A31AE">
      <w:pPr>
        <w:spacing w:after="0" w:line="276" w:lineRule="auto"/>
        <w:rPr>
          <w:rFonts w:ascii="Arial" w:eastAsia="Calibri" w:hAnsi="Arial" w:cs="Arial"/>
          <w:sz w:val="24"/>
          <w:szCs w:val="24"/>
          <w:u w:val="single"/>
        </w:rPr>
      </w:pPr>
    </w:p>
    <w:p w:rsidR="0057529A" w:rsidRPr="0057529A" w:rsidRDefault="0057529A" w:rsidP="006A31AE">
      <w:pPr>
        <w:spacing w:after="0" w:line="276" w:lineRule="auto"/>
        <w:rPr>
          <w:rFonts w:ascii="Arial" w:eastAsia="Calibri" w:hAnsi="Arial" w:cs="Arial"/>
          <w:sz w:val="24"/>
          <w:szCs w:val="24"/>
          <w:u w:val="single"/>
        </w:rPr>
      </w:pPr>
      <w:r w:rsidRPr="0057529A">
        <w:rPr>
          <w:rFonts w:ascii="Arial" w:eastAsia="Calibri" w:hAnsi="Arial" w:cs="Arial"/>
          <w:sz w:val="24"/>
          <w:szCs w:val="24"/>
          <w:u w:val="single"/>
        </w:rPr>
        <w:t>Figure 9 – Dementia diagnosis rate (65+ years)</w:t>
      </w:r>
    </w:p>
    <w:p w:rsidR="0057529A" w:rsidRDefault="0057529A" w:rsidP="006A31AE">
      <w:pPr>
        <w:spacing w:after="0" w:line="276" w:lineRule="auto"/>
        <w:rPr>
          <w:rFonts w:ascii="Arial" w:eastAsia="Calibri" w:hAnsi="Arial" w:cs="Arial"/>
          <w:sz w:val="24"/>
          <w:szCs w:val="24"/>
        </w:rPr>
      </w:pPr>
      <w:r>
        <w:rPr>
          <w:noProof/>
          <w:lang w:eastAsia="en-GB"/>
        </w:rPr>
        <w:drawing>
          <wp:inline distT="0" distB="0" distL="0" distR="0" wp14:anchorId="42E6F780" wp14:editId="22D0A99C">
            <wp:extent cx="4236720" cy="2804160"/>
            <wp:effectExtent l="0" t="0" r="11430" b="15240"/>
            <wp:docPr id="13921" name="Chart 139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rsidR="0057529A" w:rsidRPr="0057529A" w:rsidRDefault="0057529A" w:rsidP="002372F6">
      <w:pPr>
        <w:spacing w:before="120" w:after="0" w:line="276" w:lineRule="auto"/>
        <w:rPr>
          <w:rFonts w:ascii="Arial" w:eastAsia="Calibri" w:hAnsi="Arial" w:cs="Arial"/>
          <w:sz w:val="20"/>
          <w:szCs w:val="20"/>
        </w:rPr>
      </w:pPr>
      <w:r w:rsidRPr="0057529A">
        <w:rPr>
          <w:rFonts w:ascii="Arial" w:hAnsi="Arial" w:cs="Arial"/>
          <w:i/>
          <w:iCs/>
          <w:color w:val="333333"/>
          <w:sz w:val="20"/>
          <w:szCs w:val="20"/>
        </w:rPr>
        <w:t>Source: NHS Digital</w:t>
      </w:r>
    </w:p>
    <w:p w:rsidR="00540DCD" w:rsidRDefault="00540DCD" w:rsidP="006A31AE">
      <w:pPr>
        <w:spacing w:after="0" w:line="276" w:lineRule="auto"/>
        <w:rPr>
          <w:rFonts w:ascii="Arial" w:eastAsia="Calibri" w:hAnsi="Arial" w:cs="Arial"/>
          <w:sz w:val="24"/>
          <w:szCs w:val="24"/>
        </w:rPr>
      </w:pPr>
    </w:p>
    <w:p w:rsidR="00540DCD" w:rsidRDefault="00540DCD" w:rsidP="006A31AE">
      <w:pPr>
        <w:spacing w:after="0" w:line="276" w:lineRule="auto"/>
        <w:rPr>
          <w:rFonts w:ascii="Arial" w:eastAsia="Calibri" w:hAnsi="Arial" w:cs="Arial"/>
          <w:sz w:val="24"/>
          <w:szCs w:val="24"/>
        </w:rPr>
      </w:pPr>
    </w:p>
    <w:p w:rsidR="00B82B10" w:rsidRDefault="00B82B10" w:rsidP="006A31AE">
      <w:pPr>
        <w:spacing w:after="0" w:line="276" w:lineRule="auto"/>
        <w:rPr>
          <w:rFonts w:ascii="Arial" w:eastAsia="Calibri" w:hAnsi="Arial" w:cs="Arial"/>
          <w:sz w:val="24"/>
          <w:szCs w:val="24"/>
        </w:rPr>
      </w:pPr>
    </w:p>
    <w:p w:rsid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Diabetes</w:t>
      </w:r>
    </w:p>
    <w:p w:rsidR="008144BF" w:rsidRPr="006A31AE" w:rsidRDefault="008144BF" w:rsidP="006A31AE">
      <w:pPr>
        <w:spacing w:after="0" w:line="240" w:lineRule="auto"/>
        <w:outlineLvl w:val="1"/>
        <w:rPr>
          <w:rFonts w:ascii="Arial" w:eastAsia="Times New Roman" w:hAnsi="Arial" w:cs="Arial"/>
          <w:b/>
          <w:bCs/>
          <w:color w:val="006600"/>
          <w:sz w:val="28"/>
          <w:szCs w:val="24"/>
          <w:lang w:eastAsia="en-GB"/>
        </w:rPr>
      </w:pPr>
    </w:p>
    <w:p w:rsidR="006A31AE" w:rsidRDefault="008144BF" w:rsidP="006A31AE">
      <w:pPr>
        <w:spacing w:after="0" w:line="276" w:lineRule="auto"/>
        <w:rPr>
          <w:rFonts w:ascii="Arial" w:eastAsia="Calibri" w:hAnsi="Arial" w:cs="Arial"/>
          <w:sz w:val="24"/>
          <w:szCs w:val="24"/>
          <w:lang w:eastAsia="en-GB"/>
        </w:rPr>
      </w:pPr>
      <w:r w:rsidRPr="008144BF">
        <w:rPr>
          <w:rFonts w:ascii="Arial" w:eastAsia="Calibri" w:hAnsi="Arial" w:cs="Arial"/>
          <w:sz w:val="24"/>
          <w:szCs w:val="24"/>
          <w:lang w:eastAsia="en-GB"/>
        </w:rPr>
        <w:t>The estimated diabetes diagnosis rate is expressed as a percentage of the observed number of people with a formal diagnosis of diabetes over a proportion of the estimated number with diabetes</w:t>
      </w:r>
      <w:r>
        <w:rPr>
          <w:rFonts w:ascii="Arial" w:eastAsia="Calibri" w:hAnsi="Arial" w:cs="Arial"/>
          <w:sz w:val="24"/>
          <w:szCs w:val="24"/>
          <w:lang w:eastAsia="en-GB"/>
        </w:rPr>
        <w:t>.</w:t>
      </w:r>
    </w:p>
    <w:p w:rsidR="008144BF" w:rsidRPr="006A31AE" w:rsidRDefault="008144BF" w:rsidP="006A31AE">
      <w:pPr>
        <w:spacing w:after="0" w:line="276" w:lineRule="auto"/>
        <w:rPr>
          <w:rFonts w:ascii="Arial" w:eastAsia="Calibri" w:hAnsi="Arial" w:cs="Arial"/>
          <w:sz w:val="24"/>
          <w:szCs w:val="24"/>
          <w:lang w:eastAsia="en-GB"/>
        </w:rPr>
      </w:pPr>
    </w:p>
    <w:p w:rsidR="00B82B10" w:rsidRDefault="00B82B10" w:rsidP="006A31AE">
      <w:pPr>
        <w:spacing w:after="0" w:line="276" w:lineRule="auto"/>
        <w:rPr>
          <w:rFonts w:ascii="Arial" w:eastAsia="Calibri" w:hAnsi="Arial" w:cs="Arial"/>
          <w:sz w:val="24"/>
          <w:szCs w:val="24"/>
          <w:lang w:eastAsia="en-GB"/>
        </w:rPr>
      </w:pPr>
    </w:p>
    <w:p w:rsidR="00B82B10" w:rsidRDefault="00B82B10" w:rsidP="006A31AE">
      <w:pPr>
        <w:spacing w:after="0" w:line="276" w:lineRule="auto"/>
        <w:rPr>
          <w:rFonts w:ascii="Arial" w:eastAsia="Calibri" w:hAnsi="Arial" w:cs="Arial"/>
          <w:sz w:val="24"/>
          <w:szCs w:val="24"/>
          <w:lang w:eastAsia="en-GB"/>
        </w:rPr>
      </w:pPr>
    </w:p>
    <w:p w:rsidR="006A31AE" w:rsidRDefault="00FC459D" w:rsidP="006A31AE">
      <w:pPr>
        <w:spacing w:after="0" w:line="276" w:lineRule="auto"/>
        <w:rPr>
          <w:rFonts w:ascii="Arial" w:eastAsia="Calibri" w:hAnsi="Arial" w:cs="Arial"/>
          <w:sz w:val="24"/>
          <w:szCs w:val="24"/>
          <w:lang w:eastAsia="en-GB"/>
        </w:rPr>
      </w:pPr>
      <w:r>
        <w:rPr>
          <w:rFonts w:ascii="Arial" w:eastAsia="Calibri" w:hAnsi="Arial" w:cs="Arial"/>
          <w:sz w:val="24"/>
          <w:szCs w:val="24"/>
          <w:lang w:eastAsia="en-GB"/>
        </w:rPr>
        <w:t>T</w:t>
      </w:r>
      <w:r w:rsidR="006A31AE" w:rsidRPr="006A31AE">
        <w:rPr>
          <w:rFonts w:ascii="Arial" w:eastAsia="Calibri" w:hAnsi="Arial" w:cs="Arial"/>
          <w:sz w:val="24"/>
          <w:szCs w:val="24"/>
          <w:lang w:eastAsia="en-GB"/>
        </w:rPr>
        <w:t xml:space="preserve">he prevalence of diagnosed diabetes in patients aged 17+ registered in Croydon has been slightly </w:t>
      </w:r>
      <w:r w:rsidR="008144BF">
        <w:rPr>
          <w:rFonts w:ascii="Arial" w:eastAsia="Calibri" w:hAnsi="Arial" w:cs="Arial"/>
          <w:sz w:val="24"/>
          <w:szCs w:val="24"/>
          <w:lang w:eastAsia="en-GB"/>
        </w:rPr>
        <w:t xml:space="preserve">lower than </w:t>
      </w:r>
      <w:r w:rsidR="006A31AE" w:rsidRPr="006A31AE">
        <w:rPr>
          <w:rFonts w:ascii="Arial" w:eastAsia="Calibri" w:hAnsi="Arial" w:cs="Arial"/>
          <w:sz w:val="24"/>
          <w:szCs w:val="24"/>
          <w:lang w:eastAsia="en-GB"/>
        </w:rPr>
        <w:t xml:space="preserve">the regional and national averages for </w:t>
      </w:r>
      <w:r w:rsidR="008144BF">
        <w:rPr>
          <w:rFonts w:ascii="Arial" w:eastAsia="Calibri" w:hAnsi="Arial" w:cs="Arial"/>
          <w:sz w:val="24"/>
          <w:szCs w:val="24"/>
          <w:lang w:eastAsia="en-GB"/>
        </w:rPr>
        <w:t>the past 3 years but the trend is showing a slight rise in this rate.</w:t>
      </w:r>
    </w:p>
    <w:p w:rsidR="00540DCD" w:rsidRPr="006A31AE" w:rsidRDefault="00540DCD" w:rsidP="006A31AE">
      <w:pPr>
        <w:spacing w:after="0" w:line="276" w:lineRule="auto"/>
        <w:rPr>
          <w:rFonts w:ascii="Arial" w:eastAsia="Calibri" w:hAnsi="Arial" w:cs="Arial"/>
          <w:sz w:val="24"/>
          <w:szCs w:val="24"/>
          <w:lang w:eastAsia="en-GB"/>
        </w:rPr>
      </w:pPr>
    </w:p>
    <w:p w:rsidR="006A31AE" w:rsidRPr="00CF633E" w:rsidRDefault="006A31AE" w:rsidP="006A31AE">
      <w:pPr>
        <w:spacing w:after="200" w:line="276" w:lineRule="auto"/>
        <w:rPr>
          <w:rFonts w:ascii="Arial" w:eastAsia="Calibri" w:hAnsi="Arial" w:cs="Arial"/>
          <w:sz w:val="24"/>
          <w:szCs w:val="24"/>
          <w:u w:val="single"/>
          <w:lang w:eastAsia="en-GB"/>
        </w:rPr>
      </w:pPr>
      <w:r w:rsidRPr="00CF633E">
        <w:rPr>
          <w:rFonts w:ascii="Arial" w:eastAsia="Calibri" w:hAnsi="Arial" w:cs="Arial"/>
          <w:sz w:val="24"/>
          <w:szCs w:val="24"/>
          <w:u w:val="single"/>
          <w:lang w:eastAsia="en-GB"/>
        </w:rPr>
        <w:t xml:space="preserve">Figure </w:t>
      </w:r>
      <w:r w:rsidR="00E60D7C">
        <w:rPr>
          <w:rFonts w:ascii="Arial" w:eastAsia="Calibri" w:hAnsi="Arial" w:cs="Arial"/>
          <w:sz w:val="24"/>
          <w:szCs w:val="24"/>
          <w:u w:val="single"/>
          <w:lang w:eastAsia="en-GB"/>
        </w:rPr>
        <w:t>10</w:t>
      </w:r>
      <w:r w:rsidRPr="00CF633E">
        <w:rPr>
          <w:rFonts w:ascii="Arial" w:eastAsia="Calibri" w:hAnsi="Arial" w:cs="Arial"/>
          <w:sz w:val="24"/>
          <w:szCs w:val="24"/>
          <w:u w:val="single"/>
          <w:lang w:eastAsia="en-GB"/>
        </w:rPr>
        <w:t xml:space="preserve"> – Diabetes prevalence</w:t>
      </w:r>
      <w:r w:rsidR="00385C64">
        <w:rPr>
          <w:rFonts w:ascii="Arial" w:eastAsia="Calibri" w:hAnsi="Arial" w:cs="Arial"/>
          <w:sz w:val="24"/>
          <w:szCs w:val="24"/>
          <w:u w:val="single"/>
          <w:lang w:eastAsia="en-GB"/>
        </w:rPr>
        <w:t xml:space="preserve"> in 17+ year olds</w:t>
      </w:r>
    </w:p>
    <w:p w:rsidR="006A31AE" w:rsidRPr="006A31AE" w:rsidRDefault="00385C64" w:rsidP="000D5C6C">
      <w:pPr>
        <w:spacing w:after="0" w:line="240" w:lineRule="auto"/>
        <w:rPr>
          <w:rFonts w:ascii="Arial" w:eastAsia="Calibri" w:hAnsi="Arial" w:cs="Arial"/>
          <w:sz w:val="24"/>
          <w:szCs w:val="24"/>
        </w:rPr>
      </w:pPr>
      <w:r>
        <w:rPr>
          <w:noProof/>
          <w:lang w:eastAsia="en-GB"/>
        </w:rPr>
        <w:drawing>
          <wp:inline distT="0" distB="0" distL="0" distR="0" wp14:anchorId="097DB40F" wp14:editId="7CA7F9EE">
            <wp:extent cx="4061460" cy="2164080"/>
            <wp:effectExtent l="0" t="0" r="15240" b="7620"/>
            <wp:docPr id="13939" name="Chart 139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rsidR="006A31AE" w:rsidRPr="000D5C6C" w:rsidRDefault="006A31AE" w:rsidP="002372F6">
      <w:pPr>
        <w:spacing w:before="120" w:after="0" w:line="240" w:lineRule="auto"/>
        <w:rPr>
          <w:rFonts w:ascii="Arial" w:eastAsia="Calibri" w:hAnsi="Arial" w:cs="Arial"/>
          <w:sz w:val="20"/>
          <w:szCs w:val="20"/>
        </w:rPr>
      </w:pPr>
      <w:r w:rsidRPr="000D5C6C">
        <w:rPr>
          <w:rFonts w:ascii="Arial" w:eastAsia="Calibri" w:hAnsi="Arial" w:cs="Arial"/>
          <w:sz w:val="20"/>
          <w:szCs w:val="20"/>
        </w:rPr>
        <w:t>Source: PHE Health Profiles</w:t>
      </w:r>
    </w:p>
    <w:p w:rsidR="002372F6" w:rsidRDefault="002372F6" w:rsidP="006A31AE">
      <w:pPr>
        <w:spacing w:after="24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24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Tuberculosis</w:t>
      </w:r>
    </w:p>
    <w:p w:rsidR="006A31AE" w:rsidRPr="006A31AE" w:rsidRDefault="006A31AE" w:rsidP="006A31AE">
      <w:pPr>
        <w:spacing w:after="0" w:line="240" w:lineRule="auto"/>
        <w:outlineLvl w:val="1"/>
        <w:rPr>
          <w:rFonts w:ascii="Arial" w:eastAsia="Calibri" w:hAnsi="Arial" w:cs="Arial"/>
          <w:sz w:val="24"/>
          <w:szCs w:val="24"/>
          <w:lang w:eastAsia="en-GB"/>
        </w:rPr>
      </w:pPr>
      <w:r w:rsidRPr="006A31AE">
        <w:rPr>
          <w:rFonts w:ascii="Arial" w:eastAsia="Calibri" w:hAnsi="Arial" w:cs="Arial"/>
          <w:sz w:val="24"/>
          <w:szCs w:val="24"/>
          <w:lang w:eastAsia="en-GB"/>
        </w:rPr>
        <w:t xml:space="preserve">Croydon has a lower rate of new reported cases of </w:t>
      </w:r>
      <w:r w:rsidR="00951EE7">
        <w:rPr>
          <w:rFonts w:ascii="Arial" w:eastAsia="Calibri" w:hAnsi="Arial" w:cs="Arial"/>
          <w:sz w:val="24"/>
          <w:szCs w:val="24"/>
          <w:lang w:eastAsia="en-GB"/>
        </w:rPr>
        <w:t>TB</w:t>
      </w:r>
      <w:r w:rsidRPr="006A31AE">
        <w:rPr>
          <w:rFonts w:ascii="Arial" w:eastAsia="Calibri" w:hAnsi="Arial" w:cs="Arial"/>
          <w:sz w:val="24"/>
          <w:szCs w:val="24"/>
          <w:lang w:eastAsia="en-GB"/>
        </w:rPr>
        <w:t xml:space="preserve"> than the London average. In 2015-2017, there were an estimated 21.3 new cases of TB per 100,000 population compared to a rate of 24.3 cases across London and 9.9 cases nationally.</w:t>
      </w:r>
      <w:r w:rsidRPr="006A31AE">
        <w:rPr>
          <w:rFonts w:ascii="Arial" w:eastAsia="Calibri" w:hAnsi="Arial" w:cs="Arial"/>
          <w:sz w:val="24"/>
          <w:szCs w:val="24"/>
          <w:vertAlign w:val="superscript"/>
          <w:lang w:eastAsia="en-GB"/>
        </w:rPr>
        <w:footnoteReference w:id="26"/>
      </w:r>
    </w:p>
    <w:p w:rsidR="006A31AE" w:rsidRDefault="006A31AE" w:rsidP="006A31AE">
      <w:pPr>
        <w:spacing w:after="0" w:line="276" w:lineRule="auto"/>
        <w:rPr>
          <w:rFonts w:ascii="Arial" w:eastAsia="Calibri" w:hAnsi="Arial" w:cs="Arial"/>
          <w:sz w:val="24"/>
          <w:szCs w:val="24"/>
          <w:lang w:eastAsia="en-GB"/>
        </w:rPr>
      </w:pPr>
    </w:p>
    <w:p w:rsidR="008D1CBF" w:rsidRPr="006A31AE" w:rsidRDefault="008D1CBF" w:rsidP="006A31AE">
      <w:pPr>
        <w:spacing w:after="0" w:line="276" w:lineRule="auto"/>
        <w:rPr>
          <w:rFonts w:ascii="Arial" w:eastAsia="Calibri" w:hAnsi="Arial" w:cs="Arial"/>
          <w:sz w:val="24"/>
          <w:szCs w:val="24"/>
          <w:lang w:eastAsia="en-GB"/>
        </w:rPr>
      </w:pPr>
    </w:p>
    <w:p w:rsidR="006A31AE" w:rsidRDefault="006A31AE" w:rsidP="000D5C6C">
      <w:pPr>
        <w:spacing w:after="0" w:line="240" w:lineRule="auto"/>
        <w:rPr>
          <w:rFonts w:ascii="Arial" w:eastAsia="Calibri" w:hAnsi="Arial" w:cs="Arial"/>
          <w:sz w:val="24"/>
          <w:szCs w:val="24"/>
          <w:u w:val="single"/>
          <w:lang w:eastAsia="en-GB"/>
        </w:rPr>
      </w:pPr>
      <w:r w:rsidRPr="00951EE7">
        <w:rPr>
          <w:rFonts w:ascii="Arial" w:eastAsia="Calibri" w:hAnsi="Arial" w:cs="Arial"/>
          <w:sz w:val="24"/>
          <w:szCs w:val="24"/>
          <w:u w:val="single"/>
          <w:lang w:eastAsia="en-GB"/>
        </w:rPr>
        <w:t>Figure 1</w:t>
      </w:r>
      <w:r w:rsidR="00E60D7C">
        <w:rPr>
          <w:rFonts w:ascii="Arial" w:eastAsia="Calibri" w:hAnsi="Arial" w:cs="Arial"/>
          <w:sz w:val="24"/>
          <w:szCs w:val="24"/>
          <w:u w:val="single"/>
          <w:lang w:eastAsia="en-GB"/>
        </w:rPr>
        <w:t>1</w:t>
      </w:r>
      <w:r w:rsidRPr="00951EE7">
        <w:rPr>
          <w:rFonts w:ascii="Arial" w:eastAsia="Calibri" w:hAnsi="Arial" w:cs="Arial"/>
          <w:sz w:val="24"/>
          <w:szCs w:val="24"/>
          <w:u w:val="single"/>
          <w:lang w:eastAsia="en-GB"/>
        </w:rPr>
        <w:t xml:space="preserve"> – Incidence of new cases of TB per 100,000 population</w:t>
      </w:r>
      <w:r w:rsidR="007956FC">
        <w:rPr>
          <w:noProof/>
          <w:lang w:eastAsia="en-GB"/>
        </w:rPr>
        <w:drawing>
          <wp:inline distT="0" distB="0" distL="0" distR="0" wp14:anchorId="1AEC4562" wp14:editId="5D014543">
            <wp:extent cx="3931920" cy="2407920"/>
            <wp:effectExtent l="0" t="0" r="11430" b="11430"/>
            <wp:docPr id="13938" name="Chart 1393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rsidR="006A31AE" w:rsidRDefault="006A31AE" w:rsidP="002372F6">
      <w:pPr>
        <w:spacing w:before="120" w:after="0" w:line="240" w:lineRule="auto"/>
        <w:rPr>
          <w:rFonts w:ascii="Arial" w:eastAsia="Calibri" w:hAnsi="Arial" w:cs="Arial"/>
          <w:sz w:val="20"/>
          <w:szCs w:val="20"/>
          <w:lang w:eastAsia="en-GB"/>
        </w:rPr>
      </w:pPr>
      <w:r w:rsidRPr="00951EE7">
        <w:rPr>
          <w:rFonts w:ascii="Arial" w:eastAsia="Calibri" w:hAnsi="Arial" w:cs="Arial"/>
          <w:sz w:val="20"/>
          <w:szCs w:val="20"/>
          <w:lang w:eastAsia="en-GB"/>
        </w:rPr>
        <w:t>Source: PHE Health Profiles</w:t>
      </w:r>
      <w:r w:rsidR="00951EE7" w:rsidRPr="00951EE7">
        <w:rPr>
          <w:rFonts w:ascii="Arial" w:eastAsia="Calibri" w:hAnsi="Arial" w:cs="Arial"/>
          <w:sz w:val="20"/>
          <w:szCs w:val="20"/>
          <w:lang w:eastAsia="en-GB"/>
        </w:rPr>
        <w:t>,</w:t>
      </w:r>
      <w:r w:rsidR="00951EE7" w:rsidRPr="00951EE7">
        <w:rPr>
          <w:rFonts w:ascii="Arial" w:hAnsi="Arial" w:cs="Arial"/>
          <w:i/>
          <w:iCs/>
          <w:sz w:val="20"/>
          <w:szCs w:val="20"/>
        </w:rPr>
        <w:t xml:space="preserve"> Enhanced Tuberculosis Surveillance system (ETS</w:t>
      </w:r>
      <w:r w:rsidR="00264CCC">
        <w:rPr>
          <w:rFonts w:ascii="Arial" w:eastAsia="Calibri" w:hAnsi="Arial" w:cs="Arial"/>
          <w:sz w:val="20"/>
          <w:szCs w:val="20"/>
          <w:lang w:eastAsia="en-GB"/>
        </w:rPr>
        <w:t>)</w:t>
      </w:r>
    </w:p>
    <w:p w:rsidR="00B82B10" w:rsidRPr="00951EE7" w:rsidRDefault="00B82B10" w:rsidP="002372F6">
      <w:pPr>
        <w:spacing w:before="120" w:after="0" w:line="240" w:lineRule="auto"/>
        <w:rPr>
          <w:rFonts w:ascii="Arial" w:eastAsia="Calibri" w:hAnsi="Arial" w:cs="Arial"/>
          <w:sz w:val="20"/>
          <w:szCs w:val="20"/>
          <w:lang w:eastAsia="en-GB"/>
        </w:rPr>
      </w:pPr>
    </w:p>
    <w:p w:rsidR="00E874F1" w:rsidRDefault="00E874F1"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Falls in over 65s</w:t>
      </w:r>
    </w:p>
    <w:p w:rsidR="006A31AE" w:rsidRPr="006A31AE" w:rsidRDefault="006A31AE" w:rsidP="006A31AE">
      <w:pPr>
        <w:spacing w:after="0" w:line="240"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rate of hospital admissions due to falls in people aged 65 and over in Croydon remains consistently higher than the national and regional averages. There was a slight rise in the rate in 2016/2017 in Croydon to 2,710 emergency hospital admissions for injuries due to falls per 100,000 people.</w:t>
      </w:r>
      <w:r w:rsidRPr="006A31AE">
        <w:rPr>
          <w:rFonts w:ascii="Arial" w:eastAsia="Calibri" w:hAnsi="Arial" w:cs="Arial"/>
          <w:sz w:val="24"/>
          <w:szCs w:val="24"/>
          <w:vertAlign w:val="superscript"/>
          <w:lang w:eastAsia="en-GB"/>
        </w:rPr>
        <w:footnoteReference w:id="27"/>
      </w:r>
      <w:r w:rsidRPr="006A31AE">
        <w:rPr>
          <w:rFonts w:ascii="Arial" w:eastAsia="Calibri" w:hAnsi="Arial" w:cs="Arial"/>
          <w:sz w:val="24"/>
          <w:szCs w:val="24"/>
          <w:lang w:eastAsia="en-GB"/>
        </w:rPr>
        <w:t xml:space="preserve"> </w:t>
      </w:r>
    </w:p>
    <w:p w:rsidR="00E60D7C" w:rsidRDefault="00E60D7C" w:rsidP="006A31AE">
      <w:pPr>
        <w:spacing w:before="240" w:after="100" w:afterAutospacing="1" w:line="240" w:lineRule="auto"/>
        <w:rPr>
          <w:rFonts w:ascii="Arial" w:eastAsia="Calibri" w:hAnsi="Arial" w:cs="Arial"/>
          <w:sz w:val="24"/>
          <w:szCs w:val="24"/>
          <w:u w:val="single"/>
        </w:rPr>
      </w:pPr>
    </w:p>
    <w:p w:rsidR="007012B3" w:rsidRDefault="00E60D7C" w:rsidP="00540DCD">
      <w:pPr>
        <w:spacing w:after="120" w:line="240" w:lineRule="auto"/>
        <w:rPr>
          <w:rFonts w:ascii="Arial" w:eastAsia="Calibri" w:hAnsi="Arial" w:cs="Arial"/>
          <w:sz w:val="24"/>
          <w:szCs w:val="24"/>
        </w:rPr>
      </w:pPr>
      <w:r>
        <w:rPr>
          <w:rFonts w:ascii="Arial" w:eastAsia="Calibri" w:hAnsi="Arial" w:cs="Arial"/>
          <w:sz w:val="24"/>
          <w:szCs w:val="24"/>
          <w:u w:val="single"/>
        </w:rPr>
        <w:t>Figure 12</w:t>
      </w:r>
      <w:r w:rsidR="006A31AE" w:rsidRPr="007012B3">
        <w:rPr>
          <w:rFonts w:ascii="Arial" w:eastAsia="Calibri" w:hAnsi="Arial" w:cs="Arial"/>
          <w:sz w:val="24"/>
          <w:szCs w:val="24"/>
          <w:u w:val="single"/>
        </w:rPr>
        <w:t>- Injuries due to falls in over 65s per 100,000</w:t>
      </w:r>
      <w:r w:rsidR="006A31AE" w:rsidRPr="007012B3">
        <w:rPr>
          <w:rFonts w:ascii="Arial" w:eastAsia="Calibri" w:hAnsi="Arial" w:cs="Arial"/>
          <w:sz w:val="24"/>
          <w:szCs w:val="24"/>
        </w:rPr>
        <w:t xml:space="preserve"> </w:t>
      </w:r>
    </w:p>
    <w:p w:rsidR="007012B3" w:rsidRDefault="00115673" w:rsidP="00540DCD">
      <w:pPr>
        <w:spacing w:after="0" w:line="240" w:lineRule="auto"/>
        <w:rPr>
          <w:rFonts w:ascii="Arial" w:eastAsia="Calibri" w:hAnsi="Arial" w:cs="Arial"/>
          <w:sz w:val="20"/>
          <w:szCs w:val="20"/>
        </w:rPr>
      </w:pPr>
      <w:r w:rsidRPr="007012B3">
        <w:rPr>
          <w:noProof/>
          <w:lang w:eastAsia="en-GB"/>
        </w:rPr>
        <w:drawing>
          <wp:inline distT="0" distB="0" distL="0" distR="0" wp14:anchorId="0DDE3BC8" wp14:editId="1A81F06E">
            <wp:extent cx="3810000" cy="2392680"/>
            <wp:effectExtent l="0" t="0" r="0" b="7620"/>
            <wp:docPr id="13937" name="Chart 139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rsidR="006A31AE" w:rsidRPr="007012B3" w:rsidRDefault="007012B3" w:rsidP="00540DCD">
      <w:pPr>
        <w:spacing w:before="120" w:after="0" w:line="240" w:lineRule="auto"/>
        <w:rPr>
          <w:rFonts w:ascii="Arial" w:eastAsia="Calibri" w:hAnsi="Arial" w:cs="Arial"/>
          <w:sz w:val="24"/>
          <w:szCs w:val="24"/>
        </w:rPr>
      </w:pPr>
      <w:r>
        <w:rPr>
          <w:rFonts w:ascii="Arial" w:eastAsia="Calibri" w:hAnsi="Arial" w:cs="Arial"/>
          <w:sz w:val="20"/>
          <w:szCs w:val="20"/>
        </w:rPr>
        <w:t>S</w:t>
      </w:r>
      <w:r w:rsidR="006A31AE" w:rsidRPr="007012B3">
        <w:rPr>
          <w:rFonts w:ascii="Arial" w:eastAsia="Calibri" w:hAnsi="Arial" w:cs="Arial"/>
          <w:sz w:val="20"/>
          <w:szCs w:val="20"/>
        </w:rPr>
        <w:t>ource: PHE Health Profiles</w:t>
      </w:r>
      <w:r w:rsidRPr="007012B3">
        <w:rPr>
          <w:rFonts w:ascii="Arial" w:eastAsia="Calibri" w:hAnsi="Arial" w:cs="Arial"/>
          <w:sz w:val="20"/>
          <w:szCs w:val="20"/>
        </w:rPr>
        <w:t>, Hospital Episode Statistics (HES)</w:t>
      </w:r>
    </w:p>
    <w:p w:rsidR="006A31AE" w:rsidRPr="006A31AE" w:rsidRDefault="006A31AE" w:rsidP="006A31AE">
      <w:pPr>
        <w:spacing w:after="0" w:line="240" w:lineRule="auto"/>
        <w:outlineLvl w:val="1"/>
        <w:rPr>
          <w:rFonts w:ascii="Arial" w:eastAsia="Times New Roman" w:hAnsi="Arial" w:cs="Arial"/>
          <w:bCs/>
          <w:color w:val="006600"/>
          <w:sz w:val="28"/>
          <w:szCs w:val="24"/>
          <w:lang w:eastAsia="en-GB"/>
        </w:rPr>
      </w:pPr>
    </w:p>
    <w:p w:rsidR="008D1CBF" w:rsidRDefault="008D1CBF" w:rsidP="006A31AE">
      <w:pPr>
        <w:spacing w:after="0" w:line="240" w:lineRule="auto"/>
        <w:outlineLvl w:val="1"/>
        <w:rPr>
          <w:rFonts w:ascii="Arial" w:eastAsia="Times New Roman" w:hAnsi="Arial" w:cs="Arial"/>
          <w:b/>
          <w:bCs/>
          <w:color w:val="00B050"/>
          <w:sz w:val="28"/>
          <w:szCs w:val="24"/>
          <w:lang w:eastAsia="en-GB"/>
        </w:rPr>
      </w:pPr>
    </w:p>
    <w:p w:rsidR="00A23138" w:rsidRDefault="00A23138" w:rsidP="006A31AE">
      <w:pPr>
        <w:spacing w:after="0" w:line="240" w:lineRule="auto"/>
        <w:outlineLvl w:val="1"/>
        <w:rPr>
          <w:rFonts w:ascii="Arial" w:eastAsia="Times New Roman" w:hAnsi="Arial" w:cs="Arial"/>
          <w:b/>
          <w:bCs/>
          <w:color w:val="00B050"/>
          <w:sz w:val="28"/>
          <w:szCs w:val="24"/>
          <w:lang w:eastAsia="en-GB"/>
        </w:rPr>
      </w:pPr>
    </w:p>
    <w:p w:rsidR="00A113AF" w:rsidRPr="008D1CBF" w:rsidRDefault="00A113AF" w:rsidP="008D1CBF">
      <w:pPr>
        <w:spacing w:after="0" w:line="240" w:lineRule="auto"/>
        <w:outlineLvl w:val="1"/>
        <w:rPr>
          <w:rFonts w:ascii="Arial" w:eastAsia="Times New Roman" w:hAnsi="Arial" w:cs="Arial"/>
          <w:b/>
          <w:bCs/>
          <w:color w:val="00B050"/>
          <w:sz w:val="28"/>
          <w:szCs w:val="24"/>
          <w:lang w:eastAsia="en-GB"/>
        </w:rPr>
      </w:pPr>
      <w:bookmarkStart w:id="23" w:name="_Life_expectancy_and"/>
      <w:bookmarkEnd w:id="23"/>
      <w:r w:rsidRPr="008D1CBF">
        <w:rPr>
          <w:rFonts w:ascii="Arial" w:eastAsia="Times New Roman" w:hAnsi="Arial" w:cs="Arial"/>
          <w:b/>
          <w:bCs/>
          <w:color w:val="00B050"/>
          <w:sz w:val="28"/>
          <w:szCs w:val="24"/>
          <w:lang w:eastAsia="en-GB"/>
        </w:rPr>
        <w:t>Drug treatment</w:t>
      </w:r>
    </w:p>
    <w:p w:rsidR="00A113AF" w:rsidRPr="007C5994" w:rsidRDefault="00A113AF" w:rsidP="006A31AE">
      <w:pPr>
        <w:spacing w:after="0" w:line="276" w:lineRule="auto"/>
        <w:rPr>
          <w:rFonts w:ascii="Arial" w:eastAsia="Calibri" w:hAnsi="Arial" w:cs="Arial"/>
          <w:sz w:val="24"/>
          <w:szCs w:val="24"/>
          <w:lang w:eastAsia="en-GB"/>
        </w:rPr>
      </w:pPr>
    </w:p>
    <w:p w:rsidR="006A31AE" w:rsidRPr="00521BC5" w:rsidRDefault="00521BC5" w:rsidP="006A31AE">
      <w:pPr>
        <w:spacing w:after="0" w:line="276" w:lineRule="auto"/>
        <w:rPr>
          <w:rFonts w:ascii="Arial" w:eastAsia="Calibri" w:hAnsi="Arial" w:cs="Arial"/>
          <w:sz w:val="24"/>
          <w:szCs w:val="24"/>
          <w:lang w:eastAsia="en-GB"/>
        </w:rPr>
      </w:pPr>
      <w:r w:rsidRPr="00521BC5">
        <w:rPr>
          <w:rFonts w:ascii="Arial" w:eastAsia="Calibri" w:hAnsi="Arial" w:cs="Arial"/>
          <w:sz w:val="24"/>
          <w:szCs w:val="24"/>
          <w:lang w:eastAsia="en-GB"/>
        </w:rPr>
        <w:t>The successful completion of drug treatment for opiate users is measured by the n</w:t>
      </w:r>
      <w:r w:rsidRPr="00B707CB">
        <w:rPr>
          <w:rFonts w:ascii="Arial" w:eastAsia="Calibri" w:hAnsi="Arial" w:cs="Arial"/>
          <w:sz w:val="24"/>
          <w:szCs w:val="24"/>
          <w:lang w:eastAsia="en-GB"/>
        </w:rPr>
        <w:t>umber of users of opiates that left drug treatment successfully (free of drug(s) of dependence) who do not then re-present to treatment again within 6 months as a percentage of the total number of opiate users in treatment.</w:t>
      </w:r>
    </w:p>
    <w:p w:rsidR="006A31AE" w:rsidRDefault="006A31AE" w:rsidP="006A31AE">
      <w:pPr>
        <w:spacing w:after="0" w:line="276" w:lineRule="auto"/>
        <w:rPr>
          <w:rFonts w:ascii="Arial" w:eastAsia="Calibri" w:hAnsi="Arial" w:cs="Arial"/>
          <w:sz w:val="24"/>
          <w:szCs w:val="24"/>
          <w:lang w:eastAsia="en-GB"/>
        </w:rPr>
      </w:pPr>
    </w:p>
    <w:p w:rsidR="007C5994" w:rsidRDefault="007C5994" w:rsidP="006A31AE">
      <w:pPr>
        <w:spacing w:after="0" w:line="276" w:lineRule="auto"/>
        <w:rPr>
          <w:rFonts w:ascii="Arial" w:eastAsia="Calibri" w:hAnsi="Arial" w:cs="Arial"/>
          <w:sz w:val="24"/>
          <w:szCs w:val="24"/>
          <w:lang w:eastAsia="en-GB"/>
        </w:rPr>
      </w:pPr>
      <w:r>
        <w:rPr>
          <w:rFonts w:ascii="Arial" w:eastAsia="Calibri" w:hAnsi="Arial" w:cs="Arial"/>
          <w:sz w:val="24"/>
          <w:szCs w:val="24"/>
          <w:lang w:eastAsia="en-GB"/>
        </w:rPr>
        <w:t>Croydon</w:t>
      </w:r>
      <w:r w:rsidR="002B2612">
        <w:rPr>
          <w:rFonts w:ascii="Arial" w:eastAsia="Calibri" w:hAnsi="Arial" w:cs="Arial"/>
          <w:sz w:val="24"/>
          <w:szCs w:val="24"/>
          <w:lang w:eastAsia="en-GB"/>
        </w:rPr>
        <w:t>’s</w:t>
      </w:r>
      <w:r>
        <w:rPr>
          <w:rFonts w:ascii="Arial" w:eastAsia="Calibri" w:hAnsi="Arial" w:cs="Arial"/>
          <w:sz w:val="24"/>
          <w:szCs w:val="24"/>
          <w:lang w:eastAsia="en-GB"/>
        </w:rPr>
        <w:t xml:space="preserve"> success rate has improved over the last year and is in line with the London </w:t>
      </w:r>
      <w:r w:rsidR="00540DCD">
        <w:rPr>
          <w:rFonts w:ascii="Arial" w:eastAsia="Calibri" w:hAnsi="Arial" w:cs="Arial"/>
          <w:sz w:val="24"/>
          <w:szCs w:val="24"/>
          <w:lang w:eastAsia="en-GB"/>
        </w:rPr>
        <w:t xml:space="preserve">and </w:t>
      </w:r>
      <w:r>
        <w:rPr>
          <w:rFonts w:ascii="Arial" w:eastAsia="Calibri" w:hAnsi="Arial" w:cs="Arial"/>
          <w:sz w:val="24"/>
          <w:szCs w:val="24"/>
          <w:lang w:eastAsia="en-GB"/>
        </w:rPr>
        <w:t>better than the national average.</w:t>
      </w:r>
    </w:p>
    <w:p w:rsidR="007C5994" w:rsidRDefault="007C5994" w:rsidP="006A31AE">
      <w:pPr>
        <w:spacing w:after="0" w:line="276" w:lineRule="auto"/>
        <w:rPr>
          <w:rFonts w:ascii="Arial" w:eastAsia="Calibri" w:hAnsi="Arial" w:cs="Arial"/>
          <w:sz w:val="24"/>
          <w:szCs w:val="24"/>
          <w:lang w:eastAsia="en-GB"/>
        </w:rPr>
      </w:pPr>
    </w:p>
    <w:p w:rsidR="00B707CB" w:rsidRPr="00B707CB" w:rsidRDefault="00E60D7C" w:rsidP="006A31AE">
      <w:pPr>
        <w:spacing w:after="0" w:line="276" w:lineRule="auto"/>
        <w:rPr>
          <w:rFonts w:ascii="Arial" w:eastAsia="Calibri" w:hAnsi="Arial" w:cs="Arial"/>
          <w:sz w:val="24"/>
          <w:szCs w:val="24"/>
          <w:u w:val="single"/>
          <w:lang w:eastAsia="en-GB"/>
        </w:rPr>
      </w:pPr>
      <w:r>
        <w:rPr>
          <w:rFonts w:ascii="Arial" w:eastAsia="Calibri" w:hAnsi="Arial" w:cs="Arial"/>
          <w:sz w:val="24"/>
          <w:szCs w:val="24"/>
          <w:u w:val="single"/>
          <w:lang w:eastAsia="en-GB"/>
        </w:rPr>
        <w:t>Figure 13</w:t>
      </w:r>
      <w:r w:rsidR="00B707CB" w:rsidRPr="00B707CB">
        <w:rPr>
          <w:rFonts w:ascii="Arial" w:eastAsia="Calibri" w:hAnsi="Arial" w:cs="Arial"/>
          <w:sz w:val="24"/>
          <w:szCs w:val="24"/>
          <w:u w:val="single"/>
          <w:lang w:eastAsia="en-GB"/>
        </w:rPr>
        <w:t xml:space="preserve"> - Successful completion of drug treatment - opiate users</w:t>
      </w:r>
    </w:p>
    <w:p w:rsidR="00B707CB" w:rsidRDefault="00B707CB" w:rsidP="006A31AE">
      <w:pPr>
        <w:spacing w:after="0" w:line="276" w:lineRule="auto"/>
        <w:rPr>
          <w:rFonts w:ascii="Arial" w:eastAsia="Calibri" w:hAnsi="Arial" w:cs="Arial"/>
          <w:sz w:val="24"/>
          <w:szCs w:val="24"/>
          <w:lang w:eastAsia="en-GB"/>
        </w:rPr>
      </w:pPr>
      <w:r>
        <w:rPr>
          <w:noProof/>
          <w:lang w:eastAsia="en-GB"/>
        </w:rPr>
        <w:drawing>
          <wp:inline distT="0" distB="0" distL="0" distR="0" wp14:anchorId="372B101B" wp14:editId="33BAB2FF">
            <wp:extent cx="3916680" cy="2377440"/>
            <wp:effectExtent l="0" t="0" r="7620" b="3810"/>
            <wp:docPr id="13958" name="Chart 139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rsidR="00B707CB" w:rsidRPr="00540DCD" w:rsidRDefault="007C5994" w:rsidP="006A31AE">
      <w:pPr>
        <w:spacing w:after="0" w:line="276" w:lineRule="auto"/>
        <w:rPr>
          <w:rFonts w:ascii="Arial" w:eastAsia="Calibri" w:hAnsi="Arial" w:cs="Arial"/>
          <w:sz w:val="18"/>
          <w:szCs w:val="18"/>
          <w:lang w:eastAsia="en-GB"/>
        </w:rPr>
      </w:pPr>
      <w:r w:rsidRPr="00540DCD">
        <w:rPr>
          <w:rFonts w:ascii="Arial" w:eastAsia="Calibri" w:hAnsi="Arial" w:cs="Arial"/>
          <w:sz w:val="18"/>
          <w:szCs w:val="18"/>
          <w:lang w:eastAsia="en-GB"/>
        </w:rPr>
        <w:t>Source: Calculated by PHE: Knowledge and Intelligence Team (North West) using data from the National Drug Treatment Monitoring System</w:t>
      </w:r>
    </w:p>
    <w:p w:rsidR="00521BC5" w:rsidRDefault="00521BC5" w:rsidP="006A31AE">
      <w:pPr>
        <w:spacing w:after="0" w:line="276" w:lineRule="auto"/>
        <w:rPr>
          <w:rFonts w:ascii="Arial" w:eastAsia="Calibri" w:hAnsi="Arial" w:cs="Arial"/>
          <w:sz w:val="24"/>
          <w:szCs w:val="24"/>
          <w:lang w:eastAsia="en-GB"/>
        </w:rPr>
      </w:pPr>
    </w:p>
    <w:p w:rsidR="00A23138" w:rsidRDefault="00A23138" w:rsidP="006A31AE">
      <w:pPr>
        <w:spacing w:after="0" w:line="276" w:lineRule="auto"/>
        <w:rPr>
          <w:rFonts w:ascii="Arial" w:eastAsia="Calibri" w:hAnsi="Arial" w:cs="Arial"/>
          <w:sz w:val="24"/>
          <w:szCs w:val="24"/>
          <w:lang w:eastAsia="en-GB"/>
        </w:rPr>
      </w:pPr>
    </w:p>
    <w:p w:rsidR="00521BC5" w:rsidRPr="002B2612" w:rsidRDefault="00521BC5" w:rsidP="002B2612">
      <w:pPr>
        <w:spacing w:after="0" w:line="240" w:lineRule="auto"/>
        <w:outlineLvl w:val="1"/>
        <w:rPr>
          <w:rFonts w:ascii="Arial" w:eastAsia="Times New Roman" w:hAnsi="Arial" w:cs="Arial"/>
          <w:b/>
          <w:bCs/>
          <w:color w:val="00B050"/>
          <w:sz w:val="28"/>
          <w:szCs w:val="24"/>
          <w:lang w:eastAsia="en-GB"/>
        </w:rPr>
      </w:pPr>
      <w:r w:rsidRPr="002B2612">
        <w:rPr>
          <w:rFonts w:ascii="Arial" w:eastAsia="Times New Roman" w:hAnsi="Arial" w:cs="Arial"/>
          <w:b/>
          <w:bCs/>
          <w:color w:val="00B050"/>
          <w:sz w:val="28"/>
          <w:szCs w:val="24"/>
          <w:lang w:eastAsia="en-GB"/>
        </w:rPr>
        <w:t xml:space="preserve">Alcohol treatment </w:t>
      </w:r>
    </w:p>
    <w:p w:rsidR="007C5994" w:rsidRDefault="007C5994" w:rsidP="006A31AE">
      <w:pPr>
        <w:spacing w:after="0" w:line="276" w:lineRule="auto"/>
        <w:rPr>
          <w:rFonts w:ascii="Arial" w:hAnsi="Arial" w:cs="Arial"/>
          <w:color w:val="333333"/>
          <w:sz w:val="21"/>
          <w:szCs w:val="21"/>
        </w:rPr>
      </w:pPr>
    </w:p>
    <w:p w:rsidR="00521BC5" w:rsidRDefault="007C5994" w:rsidP="006A31AE">
      <w:pPr>
        <w:spacing w:after="0" w:line="276" w:lineRule="auto"/>
        <w:rPr>
          <w:rFonts w:ascii="Arial" w:eastAsia="Calibri" w:hAnsi="Arial" w:cs="Arial"/>
          <w:sz w:val="24"/>
          <w:szCs w:val="24"/>
          <w:lang w:eastAsia="en-GB"/>
        </w:rPr>
      </w:pPr>
      <w:r w:rsidRPr="007C5994">
        <w:rPr>
          <w:rFonts w:ascii="Arial" w:eastAsia="Calibri" w:hAnsi="Arial" w:cs="Arial"/>
          <w:sz w:val="24"/>
          <w:szCs w:val="24"/>
          <w:lang w:eastAsia="en-GB"/>
        </w:rPr>
        <w:t>The successful completion of alcohol treatment is measured by the number of alcohol users that left structured treatment successfully (free of  alcohol dependence) who do not then re-present to treatment within 6 months as a percentage of the total number of alcohol users in structured treatment.</w:t>
      </w:r>
    </w:p>
    <w:p w:rsidR="00E60D7C" w:rsidRDefault="00E60D7C" w:rsidP="006A31AE">
      <w:pPr>
        <w:spacing w:after="0" w:line="276" w:lineRule="auto"/>
        <w:rPr>
          <w:rFonts w:ascii="Arial" w:eastAsia="Calibri" w:hAnsi="Arial" w:cs="Arial"/>
          <w:sz w:val="24"/>
          <w:szCs w:val="24"/>
          <w:lang w:eastAsia="en-GB"/>
        </w:rPr>
      </w:pPr>
    </w:p>
    <w:p w:rsidR="005D648A" w:rsidRDefault="005D648A" w:rsidP="006A31AE">
      <w:pPr>
        <w:spacing w:after="0" w:line="276" w:lineRule="auto"/>
        <w:rPr>
          <w:rFonts w:ascii="Arial" w:eastAsia="Calibri" w:hAnsi="Arial" w:cs="Arial"/>
          <w:sz w:val="24"/>
          <w:szCs w:val="24"/>
          <w:lang w:eastAsia="en-GB"/>
        </w:rPr>
      </w:pPr>
      <w:r>
        <w:rPr>
          <w:rFonts w:ascii="Arial" w:eastAsia="Calibri" w:hAnsi="Arial" w:cs="Arial"/>
          <w:sz w:val="24"/>
          <w:szCs w:val="24"/>
          <w:lang w:eastAsia="en-GB"/>
        </w:rPr>
        <w:t>For the past 7 years, Croydon has consistently been less successful with alcohol treatment compared to London and England generally.</w:t>
      </w:r>
    </w:p>
    <w:p w:rsidR="005D648A" w:rsidRDefault="005D648A" w:rsidP="006A31AE">
      <w:pPr>
        <w:spacing w:after="0" w:line="276" w:lineRule="auto"/>
        <w:rPr>
          <w:rFonts w:ascii="Arial" w:eastAsia="Calibri" w:hAnsi="Arial" w:cs="Arial"/>
          <w:sz w:val="24"/>
          <w:szCs w:val="24"/>
          <w:lang w:eastAsia="en-GB"/>
        </w:rPr>
      </w:pPr>
    </w:p>
    <w:p w:rsidR="007C5994" w:rsidRPr="00B707CB" w:rsidRDefault="007C5994" w:rsidP="007C5994">
      <w:pPr>
        <w:spacing w:after="0" w:line="276" w:lineRule="auto"/>
        <w:rPr>
          <w:rFonts w:ascii="Arial" w:eastAsia="Calibri" w:hAnsi="Arial" w:cs="Arial"/>
          <w:sz w:val="24"/>
          <w:szCs w:val="24"/>
          <w:u w:val="single"/>
          <w:lang w:eastAsia="en-GB"/>
        </w:rPr>
      </w:pPr>
      <w:r w:rsidRPr="00B707CB">
        <w:rPr>
          <w:rFonts w:ascii="Arial" w:eastAsia="Calibri" w:hAnsi="Arial" w:cs="Arial"/>
          <w:sz w:val="24"/>
          <w:szCs w:val="24"/>
          <w:u w:val="single"/>
          <w:lang w:eastAsia="en-GB"/>
        </w:rPr>
        <w:t>Figure 1</w:t>
      </w:r>
      <w:r w:rsidR="00E60D7C">
        <w:rPr>
          <w:rFonts w:ascii="Arial" w:eastAsia="Calibri" w:hAnsi="Arial" w:cs="Arial"/>
          <w:sz w:val="24"/>
          <w:szCs w:val="24"/>
          <w:u w:val="single"/>
          <w:lang w:eastAsia="en-GB"/>
        </w:rPr>
        <w:t>4</w:t>
      </w:r>
      <w:r w:rsidRPr="00B707CB">
        <w:rPr>
          <w:rFonts w:ascii="Arial" w:eastAsia="Calibri" w:hAnsi="Arial" w:cs="Arial"/>
          <w:sz w:val="24"/>
          <w:szCs w:val="24"/>
          <w:u w:val="single"/>
          <w:lang w:eastAsia="en-GB"/>
        </w:rPr>
        <w:t xml:space="preserve"> - Successful completion of </w:t>
      </w:r>
      <w:r>
        <w:rPr>
          <w:rFonts w:ascii="Arial" w:eastAsia="Calibri" w:hAnsi="Arial" w:cs="Arial"/>
          <w:sz w:val="24"/>
          <w:szCs w:val="24"/>
          <w:u w:val="single"/>
          <w:lang w:eastAsia="en-GB"/>
        </w:rPr>
        <w:t>alcohol treatment</w:t>
      </w:r>
    </w:p>
    <w:p w:rsidR="007C5994" w:rsidRDefault="007C5994" w:rsidP="006A31AE">
      <w:pPr>
        <w:spacing w:after="0" w:line="276" w:lineRule="auto"/>
        <w:rPr>
          <w:rFonts w:ascii="Arial" w:eastAsia="Calibri" w:hAnsi="Arial" w:cs="Arial"/>
          <w:sz w:val="24"/>
          <w:szCs w:val="24"/>
          <w:lang w:eastAsia="en-GB"/>
        </w:rPr>
      </w:pPr>
    </w:p>
    <w:p w:rsidR="007C5994" w:rsidRDefault="005D648A" w:rsidP="006A31AE">
      <w:pPr>
        <w:spacing w:after="0" w:line="276" w:lineRule="auto"/>
        <w:rPr>
          <w:rFonts w:ascii="Arial" w:eastAsia="Calibri" w:hAnsi="Arial" w:cs="Arial"/>
          <w:sz w:val="24"/>
          <w:szCs w:val="24"/>
          <w:lang w:eastAsia="en-GB"/>
        </w:rPr>
      </w:pPr>
      <w:r>
        <w:rPr>
          <w:noProof/>
          <w:lang w:eastAsia="en-GB"/>
        </w:rPr>
        <w:drawing>
          <wp:inline distT="0" distB="0" distL="0" distR="0" wp14:anchorId="662360A2" wp14:editId="48DB8F48">
            <wp:extent cx="3649980" cy="2209800"/>
            <wp:effectExtent l="0" t="0" r="7620" b="0"/>
            <wp:docPr id="13920" name="Chart 139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5D648A" w:rsidRPr="007C5994" w:rsidRDefault="005D648A" w:rsidP="005D648A">
      <w:pPr>
        <w:spacing w:after="0" w:line="276" w:lineRule="auto"/>
        <w:rPr>
          <w:rFonts w:ascii="Arial" w:eastAsia="Calibri" w:hAnsi="Arial" w:cs="Arial"/>
          <w:sz w:val="20"/>
          <w:szCs w:val="20"/>
          <w:lang w:eastAsia="en-GB"/>
        </w:rPr>
      </w:pPr>
      <w:r w:rsidRPr="007C5994">
        <w:rPr>
          <w:rFonts w:ascii="Arial" w:eastAsia="Calibri" w:hAnsi="Arial" w:cs="Arial"/>
          <w:sz w:val="20"/>
          <w:szCs w:val="20"/>
          <w:lang w:eastAsia="en-GB"/>
        </w:rPr>
        <w:t>Source: Calculated by P</w:t>
      </w:r>
      <w:r>
        <w:rPr>
          <w:rFonts w:ascii="Arial" w:eastAsia="Calibri" w:hAnsi="Arial" w:cs="Arial"/>
          <w:sz w:val="20"/>
          <w:szCs w:val="20"/>
          <w:lang w:eastAsia="en-GB"/>
        </w:rPr>
        <w:t>HE</w:t>
      </w:r>
      <w:r w:rsidRPr="007C5994">
        <w:rPr>
          <w:rFonts w:ascii="Arial" w:eastAsia="Calibri" w:hAnsi="Arial" w:cs="Arial"/>
          <w:sz w:val="20"/>
          <w:szCs w:val="20"/>
          <w:lang w:eastAsia="en-GB"/>
        </w:rPr>
        <w:t>: Knowledge and Intelligence Team (North West) using data from the National Drug Treatment Monitoring System</w:t>
      </w:r>
    </w:p>
    <w:p w:rsidR="007C5994" w:rsidRDefault="007C5994" w:rsidP="006A31AE">
      <w:pPr>
        <w:spacing w:after="0" w:line="276" w:lineRule="auto"/>
        <w:rPr>
          <w:rFonts w:ascii="Arial" w:eastAsia="Calibri" w:hAnsi="Arial" w:cs="Arial"/>
          <w:sz w:val="24"/>
          <w:szCs w:val="24"/>
          <w:lang w:eastAsia="en-GB"/>
        </w:rPr>
      </w:pPr>
    </w:p>
    <w:p w:rsidR="007C5994" w:rsidRDefault="007C5994" w:rsidP="006A31AE">
      <w:pPr>
        <w:spacing w:after="0" w:line="276" w:lineRule="auto"/>
        <w:rPr>
          <w:rFonts w:ascii="Arial" w:eastAsia="Calibri" w:hAnsi="Arial" w:cs="Arial"/>
          <w:sz w:val="24"/>
          <w:szCs w:val="24"/>
          <w:lang w:eastAsia="en-GB"/>
        </w:rPr>
      </w:pPr>
    </w:p>
    <w:p w:rsidR="002F173F" w:rsidRPr="00045B40" w:rsidRDefault="002F173F" w:rsidP="002F173F">
      <w:pPr>
        <w:spacing w:after="0" w:line="240" w:lineRule="auto"/>
        <w:outlineLvl w:val="1"/>
        <w:rPr>
          <w:rFonts w:ascii="Arial" w:eastAsia="Times New Roman" w:hAnsi="Arial" w:cs="Arial"/>
          <w:b/>
          <w:bCs/>
          <w:color w:val="00B050"/>
          <w:sz w:val="28"/>
          <w:szCs w:val="24"/>
          <w:lang w:eastAsia="en-GB"/>
        </w:rPr>
      </w:pPr>
      <w:r w:rsidRPr="00045B40">
        <w:rPr>
          <w:rFonts w:ascii="Arial" w:eastAsia="Times New Roman" w:hAnsi="Arial" w:cs="Arial"/>
          <w:b/>
          <w:bCs/>
          <w:color w:val="00B050"/>
          <w:sz w:val="28"/>
          <w:szCs w:val="24"/>
          <w:lang w:eastAsia="en-GB"/>
        </w:rPr>
        <w:t>Substance Misuse</w:t>
      </w:r>
    </w:p>
    <w:p w:rsidR="002F173F" w:rsidRPr="006A31AE" w:rsidRDefault="002F173F" w:rsidP="002F173F">
      <w:pPr>
        <w:spacing w:after="0" w:line="276" w:lineRule="auto"/>
        <w:rPr>
          <w:rFonts w:ascii="Arial" w:eastAsia="Calibri" w:hAnsi="Arial" w:cs="Arial"/>
          <w:sz w:val="24"/>
          <w:szCs w:val="24"/>
          <w:lang w:eastAsia="en-GB"/>
        </w:rPr>
      </w:pPr>
    </w:p>
    <w:p w:rsidR="00B82B10" w:rsidRDefault="002F173F" w:rsidP="002F173F">
      <w:pPr>
        <w:spacing w:after="200" w:line="276" w:lineRule="auto"/>
        <w:rPr>
          <w:rFonts w:ascii="Arial" w:eastAsia="Calibri" w:hAnsi="Arial" w:cs="Arial"/>
          <w:sz w:val="24"/>
          <w:szCs w:val="24"/>
          <w:lang w:eastAsia="en-GB"/>
        </w:rPr>
      </w:pPr>
      <w:r w:rsidRPr="002F173F">
        <w:rPr>
          <w:rFonts w:ascii="Arial" w:eastAsia="Calibri" w:hAnsi="Arial" w:cs="Arial"/>
          <w:sz w:val="24"/>
          <w:szCs w:val="24"/>
          <w:lang w:eastAsia="en-GB"/>
        </w:rPr>
        <w:t>1,130 adults were in treatment (tier 3 and tier 4) for substance misuse issues in Croydon in 2013/14. This represents a slight increase on earlier years. 73.1% of adults in treatment were from a White ethnic background, far higher than the proportion of adults from this grou</w:t>
      </w:r>
      <w:r w:rsidR="004327FC">
        <w:rPr>
          <w:rFonts w:ascii="Arial" w:eastAsia="Calibri" w:hAnsi="Arial" w:cs="Arial"/>
          <w:sz w:val="24"/>
          <w:szCs w:val="24"/>
          <w:lang w:eastAsia="en-GB"/>
        </w:rPr>
        <w:t xml:space="preserve">p in the general population. </w:t>
      </w:r>
    </w:p>
    <w:p w:rsidR="002F173F" w:rsidRPr="002F173F" w:rsidRDefault="002F173F" w:rsidP="002F173F">
      <w:pPr>
        <w:spacing w:after="200" w:line="276" w:lineRule="auto"/>
        <w:rPr>
          <w:rFonts w:ascii="Arial" w:eastAsia="Calibri" w:hAnsi="Arial" w:cs="Arial"/>
          <w:sz w:val="24"/>
          <w:szCs w:val="24"/>
          <w:lang w:eastAsia="en-GB"/>
        </w:rPr>
      </w:pPr>
      <w:r w:rsidRPr="002F173F">
        <w:rPr>
          <w:rFonts w:ascii="Arial" w:eastAsia="Calibri" w:hAnsi="Arial" w:cs="Arial"/>
          <w:sz w:val="24"/>
          <w:szCs w:val="24"/>
          <w:lang w:eastAsia="en-GB"/>
        </w:rPr>
        <w:t>Just over a third of clients were in treatment for opiate and crack usage, with just under a quarter in treatment for opiate usage only.</w:t>
      </w:r>
      <w:r w:rsidRPr="002F173F">
        <w:rPr>
          <w:rFonts w:ascii="Arial" w:eastAsia="Calibri" w:hAnsi="Arial" w:cs="Arial"/>
          <w:sz w:val="24"/>
          <w:szCs w:val="24"/>
          <w:vertAlign w:val="superscript"/>
          <w:lang w:eastAsia="en-GB"/>
        </w:rPr>
        <w:footnoteReference w:id="28"/>
      </w:r>
    </w:p>
    <w:p w:rsidR="002F173F" w:rsidRDefault="002F173F"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Life expectancy and cause of death</w:t>
      </w:r>
    </w:p>
    <w:p w:rsidR="006A31AE" w:rsidRPr="006A31AE" w:rsidRDefault="006A31AE" w:rsidP="006A31AE">
      <w:pPr>
        <w:spacing w:after="0" w:line="276" w:lineRule="auto"/>
        <w:rPr>
          <w:rFonts w:ascii="Arial" w:eastAsia="Calibri" w:hAnsi="Arial" w:cs="Arial"/>
          <w:sz w:val="24"/>
          <w:szCs w:val="24"/>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Life expectancy at birth</w:t>
      </w: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76" w:lineRule="auto"/>
        <w:rPr>
          <w:rFonts w:ascii="Arial" w:eastAsia="Calibri" w:hAnsi="Arial" w:cs="Arial"/>
          <w:sz w:val="24"/>
          <w:szCs w:val="24"/>
        </w:rPr>
      </w:pPr>
      <w:r w:rsidRPr="006A31AE">
        <w:rPr>
          <w:rFonts w:ascii="Arial" w:eastAsia="Calibri" w:hAnsi="Arial" w:cs="Arial"/>
          <w:sz w:val="24"/>
          <w:szCs w:val="24"/>
        </w:rPr>
        <w:t>Life expectancy at birth for men in Croydon was on average approximately 80.3 years for the period 2014-16. This is in line with the regional average (80.4) and higher than the national average (79.5). The life expectancy for women was slightly higher at 83.6 years, this is below the London average of 84.2 years, but similar to the England average of 83.1.</w:t>
      </w:r>
      <w:r w:rsidRPr="006A31AE">
        <w:rPr>
          <w:rFonts w:ascii="Arial" w:eastAsia="Calibri" w:hAnsi="Arial" w:cs="Arial"/>
          <w:sz w:val="24"/>
          <w:szCs w:val="24"/>
          <w:vertAlign w:val="superscript"/>
        </w:rPr>
        <w:footnoteReference w:id="29"/>
      </w:r>
    </w:p>
    <w:p w:rsidR="002F173F" w:rsidRDefault="002F173F" w:rsidP="006A31AE">
      <w:pPr>
        <w:spacing w:after="0" w:line="240" w:lineRule="auto"/>
        <w:outlineLvl w:val="1"/>
        <w:rPr>
          <w:rFonts w:ascii="Arial" w:eastAsia="Times New Roman" w:hAnsi="Arial" w:cs="Arial"/>
          <w:b/>
          <w:bCs/>
          <w:color w:val="00B050"/>
          <w:sz w:val="28"/>
          <w:szCs w:val="24"/>
          <w:lang w:eastAsia="en-GB"/>
        </w:rPr>
      </w:pPr>
    </w:p>
    <w:p w:rsidR="00B82B10" w:rsidRDefault="00B82B10" w:rsidP="006A31AE">
      <w:pPr>
        <w:spacing w:after="0" w:line="240" w:lineRule="auto"/>
        <w:outlineLvl w:val="1"/>
        <w:rPr>
          <w:rFonts w:ascii="Arial" w:eastAsia="Times New Roman" w:hAnsi="Arial" w:cs="Arial"/>
          <w:b/>
          <w:bCs/>
          <w:color w:val="00B050"/>
          <w:sz w:val="28"/>
          <w:szCs w:val="24"/>
          <w:lang w:eastAsia="en-GB"/>
        </w:rPr>
      </w:pPr>
    </w:p>
    <w:p w:rsidR="004327FC" w:rsidRDefault="004327FC"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Mortality rates</w:t>
      </w:r>
    </w:p>
    <w:p w:rsidR="006A31AE" w:rsidRPr="006A31AE" w:rsidRDefault="006A31AE" w:rsidP="006A31AE">
      <w:pPr>
        <w:spacing w:after="0" w:line="276" w:lineRule="auto"/>
        <w:rPr>
          <w:rFonts w:ascii="Arial" w:eastAsia="Calibri" w:hAnsi="Arial" w:cs="Arial"/>
          <w:sz w:val="24"/>
          <w:szCs w:val="24"/>
          <w:lang w:eastAsia="en-GB"/>
        </w:rPr>
      </w:pPr>
    </w:p>
    <w:p w:rsidR="006A31AE" w:rsidRPr="00FC459D" w:rsidRDefault="00E32102" w:rsidP="006A31AE">
      <w:pPr>
        <w:spacing w:after="0" w:line="276" w:lineRule="auto"/>
        <w:rPr>
          <w:rFonts w:ascii="Arial" w:eastAsia="Calibri" w:hAnsi="Arial" w:cs="Arial"/>
          <w:sz w:val="24"/>
          <w:szCs w:val="24"/>
          <w:lang w:eastAsia="en-GB"/>
        </w:rPr>
      </w:pPr>
      <w:r w:rsidRPr="00FC459D">
        <w:rPr>
          <w:rFonts w:ascii="Arial" w:eastAsia="Calibri" w:hAnsi="Arial" w:cs="Arial"/>
          <w:sz w:val="24"/>
          <w:szCs w:val="24"/>
          <w:lang w:eastAsia="en-GB"/>
        </w:rPr>
        <w:t>During</w:t>
      </w:r>
      <w:r w:rsidR="006A31AE" w:rsidRPr="00FC459D">
        <w:rPr>
          <w:rFonts w:ascii="Arial" w:eastAsia="Calibri" w:hAnsi="Arial" w:cs="Arial"/>
          <w:sz w:val="24"/>
          <w:szCs w:val="24"/>
          <w:lang w:eastAsia="en-GB"/>
        </w:rPr>
        <w:t xml:space="preserve"> 201</w:t>
      </w:r>
      <w:r w:rsidR="00015CB6" w:rsidRPr="00FC459D">
        <w:rPr>
          <w:rFonts w:ascii="Arial" w:eastAsia="Calibri" w:hAnsi="Arial" w:cs="Arial"/>
          <w:sz w:val="24"/>
          <w:szCs w:val="24"/>
          <w:lang w:eastAsia="en-GB"/>
        </w:rPr>
        <w:t>5</w:t>
      </w:r>
      <w:r w:rsidR="006A31AE" w:rsidRPr="00FC459D">
        <w:rPr>
          <w:rFonts w:ascii="Arial" w:eastAsia="Calibri" w:hAnsi="Arial" w:cs="Arial"/>
          <w:sz w:val="24"/>
          <w:szCs w:val="24"/>
          <w:lang w:eastAsia="en-GB"/>
        </w:rPr>
        <w:t>-</w:t>
      </w:r>
      <w:r w:rsidR="00015CB6" w:rsidRPr="00FC459D">
        <w:rPr>
          <w:rFonts w:ascii="Arial" w:eastAsia="Calibri" w:hAnsi="Arial" w:cs="Arial"/>
          <w:sz w:val="24"/>
          <w:szCs w:val="24"/>
          <w:lang w:eastAsia="en-GB"/>
        </w:rPr>
        <w:t>20</w:t>
      </w:r>
      <w:r w:rsidR="006A31AE" w:rsidRPr="00FC459D">
        <w:rPr>
          <w:rFonts w:ascii="Arial" w:eastAsia="Calibri" w:hAnsi="Arial" w:cs="Arial"/>
          <w:sz w:val="24"/>
          <w:szCs w:val="24"/>
          <w:lang w:eastAsia="en-GB"/>
        </w:rPr>
        <w:t>1</w:t>
      </w:r>
      <w:r w:rsidR="000D2B12">
        <w:rPr>
          <w:rFonts w:ascii="Arial" w:eastAsia="Calibri" w:hAnsi="Arial" w:cs="Arial"/>
          <w:sz w:val="24"/>
          <w:szCs w:val="24"/>
          <w:lang w:eastAsia="en-GB"/>
        </w:rPr>
        <w:t>7</w:t>
      </w:r>
      <w:r w:rsidR="006A31AE" w:rsidRPr="00FC459D">
        <w:rPr>
          <w:rFonts w:ascii="Arial" w:eastAsia="Calibri" w:hAnsi="Arial" w:cs="Arial"/>
          <w:sz w:val="24"/>
          <w:szCs w:val="24"/>
          <w:lang w:eastAsia="en-GB"/>
        </w:rPr>
        <w:t xml:space="preserve"> there were 3.</w:t>
      </w:r>
      <w:r w:rsidR="00015CB6" w:rsidRPr="00FC459D">
        <w:rPr>
          <w:rFonts w:ascii="Arial" w:eastAsia="Calibri" w:hAnsi="Arial" w:cs="Arial"/>
          <w:sz w:val="24"/>
          <w:szCs w:val="24"/>
          <w:lang w:eastAsia="en-GB"/>
        </w:rPr>
        <w:t>6</w:t>
      </w:r>
      <w:r w:rsidR="006A31AE" w:rsidRPr="00FC459D">
        <w:rPr>
          <w:rFonts w:ascii="Arial" w:eastAsia="Calibri" w:hAnsi="Arial" w:cs="Arial"/>
          <w:sz w:val="24"/>
          <w:szCs w:val="24"/>
          <w:lang w:eastAsia="en-GB"/>
        </w:rPr>
        <w:t xml:space="preserve"> deaths of infants aged under 1 year per 1,000 live births. This </w:t>
      </w:r>
      <w:r w:rsidRPr="00FC459D">
        <w:rPr>
          <w:rFonts w:ascii="Arial" w:eastAsia="Calibri" w:hAnsi="Arial" w:cs="Arial"/>
          <w:sz w:val="24"/>
          <w:szCs w:val="24"/>
          <w:lang w:eastAsia="en-GB"/>
        </w:rPr>
        <w:t>was</w:t>
      </w:r>
      <w:r w:rsidR="006A31AE" w:rsidRPr="00FC459D">
        <w:rPr>
          <w:rFonts w:ascii="Arial" w:eastAsia="Calibri" w:hAnsi="Arial" w:cs="Arial"/>
          <w:sz w:val="24"/>
          <w:szCs w:val="24"/>
          <w:lang w:eastAsia="en-GB"/>
        </w:rPr>
        <w:t xml:space="preserve"> in</w:t>
      </w:r>
      <w:r w:rsidRPr="00FC459D">
        <w:rPr>
          <w:rFonts w:ascii="Arial" w:eastAsia="Calibri" w:hAnsi="Arial" w:cs="Arial"/>
          <w:sz w:val="24"/>
          <w:szCs w:val="24"/>
          <w:lang w:eastAsia="en-GB"/>
        </w:rPr>
        <w:t>-</w:t>
      </w:r>
      <w:r w:rsidR="006A31AE" w:rsidRPr="00FC459D">
        <w:rPr>
          <w:rFonts w:ascii="Arial" w:eastAsia="Calibri" w:hAnsi="Arial" w:cs="Arial"/>
          <w:sz w:val="24"/>
          <w:szCs w:val="24"/>
          <w:lang w:eastAsia="en-GB"/>
        </w:rPr>
        <w:t>between the regional (3.</w:t>
      </w:r>
      <w:r w:rsidR="00015CB6" w:rsidRPr="00FC459D">
        <w:rPr>
          <w:rFonts w:ascii="Arial" w:eastAsia="Calibri" w:hAnsi="Arial" w:cs="Arial"/>
          <w:sz w:val="24"/>
          <w:szCs w:val="24"/>
          <w:lang w:eastAsia="en-GB"/>
        </w:rPr>
        <w:t>3</w:t>
      </w:r>
      <w:r w:rsidR="006A31AE" w:rsidRPr="00FC459D">
        <w:rPr>
          <w:rFonts w:ascii="Arial" w:eastAsia="Calibri" w:hAnsi="Arial" w:cs="Arial"/>
          <w:sz w:val="24"/>
          <w:szCs w:val="24"/>
          <w:lang w:eastAsia="en-GB"/>
        </w:rPr>
        <w:t>) and national (3.9) rates.</w:t>
      </w:r>
      <w:r w:rsidR="006A31AE" w:rsidRPr="00FC459D">
        <w:rPr>
          <w:rFonts w:ascii="Arial" w:eastAsia="Calibri" w:hAnsi="Arial" w:cs="Arial"/>
          <w:sz w:val="24"/>
          <w:szCs w:val="24"/>
          <w:lang w:eastAsia="en-GB"/>
        </w:rPr>
        <w:footnoteReference w:id="30"/>
      </w:r>
      <w:r w:rsidR="006A31AE" w:rsidRPr="00FC459D">
        <w:rPr>
          <w:rFonts w:ascii="Arial" w:eastAsia="Calibri" w:hAnsi="Arial" w:cs="Arial"/>
          <w:sz w:val="24"/>
          <w:szCs w:val="24"/>
          <w:lang w:eastAsia="en-GB"/>
        </w:rPr>
        <w:t xml:space="preserve">  The rate of deaths in Croydon from causes that were considered preventable has been either in line with, or </w:t>
      </w:r>
      <w:r w:rsidR="00015CB6" w:rsidRPr="00FC459D">
        <w:rPr>
          <w:rFonts w:ascii="Arial" w:eastAsia="Calibri" w:hAnsi="Arial" w:cs="Arial"/>
          <w:sz w:val="24"/>
          <w:szCs w:val="24"/>
          <w:lang w:eastAsia="en-GB"/>
        </w:rPr>
        <w:t xml:space="preserve">lower </w:t>
      </w:r>
      <w:r w:rsidR="006A31AE" w:rsidRPr="00FC459D">
        <w:rPr>
          <w:rFonts w:ascii="Arial" w:eastAsia="Calibri" w:hAnsi="Arial" w:cs="Arial"/>
          <w:sz w:val="24"/>
          <w:szCs w:val="24"/>
          <w:lang w:eastAsia="en-GB"/>
        </w:rPr>
        <w:t>than the regional and national average for the last 1</w:t>
      </w:r>
      <w:r w:rsidR="00015CB6" w:rsidRPr="00FC459D">
        <w:rPr>
          <w:rFonts w:ascii="Arial" w:eastAsia="Calibri" w:hAnsi="Arial" w:cs="Arial"/>
          <w:sz w:val="24"/>
          <w:szCs w:val="24"/>
          <w:lang w:eastAsia="en-GB"/>
        </w:rPr>
        <w:t>5</w:t>
      </w:r>
      <w:r w:rsidR="006A31AE" w:rsidRPr="00FC459D">
        <w:rPr>
          <w:rFonts w:ascii="Arial" w:eastAsia="Calibri" w:hAnsi="Arial" w:cs="Arial"/>
          <w:sz w:val="24"/>
          <w:szCs w:val="24"/>
          <w:lang w:eastAsia="en-GB"/>
        </w:rPr>
        <w:t xml:space="preserve"> years.</w:t>
      </w:r>
    </w:p>
    <w:p w:rsidR="006A31AE" w:rsidRPr="00C17841" w:rsidRDefault="006A31AE" w:rsidP="006A31AE">
      <w:pPr>
        <w:spacing w:after="200" w:line="276" w:lineRule="auto"/>
        <w:rPr>
          <w:rFonts w:ascii="Arial" w:eastAsia="Calibri" w:hAnsi="Arial" w:cs="Arial"/>
          <w:color w:val="44546A" w:themeColor="text2"/>
          <w:sz w:val="24"/>
          <w:szCs w:val="24"/>
          <w:lang w:eastAsia="en-GB"/>
        </w:rPr>
      </w:pPr>
    </w:p>
    <w:p w:rsidR="00C17841" w:rsidRPr="00C17841" w:rsidRDefault="006A31AE" w:rsidP="00C17841">
      <w:pPr>
        <w:rPr>
          <w:rFonts w:ascii="Arial" w:eastAsia="Times New Roman" w:hAnsi="Arial" w:cs="Arial"/>
          <w:color w:val="44546A" w:themeColor="text2"/>
          <w:u w:val="single"/>
          <w:lang w:eastAsia="en-GB"/>
        </w:rPr>
      </w:pPr>
      <w:r w:rsidRPr="00C17841">
        <w:rPr>
          <w:rFonts w:ascii="Arial" w:eastAsia="Calibri" w:hAnsi="Arial" w:cs="Arial"/>
          <w:color w:val="44546A" w:themeColor="text2"/>
          <w:sz w:val="24"/>
          <w:szCs w:val="24"/>
          <w:u w:val="single"/>
          <w:lang w:eastAsia="en-GB"/>
        </w:rPr>
        <w:t>Figure 1</w:t>
      </w:r>
      <w:r w:rsidR="00E60D7C">
        <w:rPr>
          <w:rFonts w:ascii="Arial" w:eastAsia="Calibri" w:hAnsi="Arial" w:cs="Arial"/>
          <w:color w:val="44546A" w:themeColor="text2"/>
          <w:sz w:val="24"/>
          <w:szCs w:val="24"/>
          <w:u w:val="single"/>
          <w:lang w:eastAsia="en-GB"/>
        </w:rPr>
        <w:t>5</w:t>
      </w:r>
      <w:r w:rsidRPr="00C17841">
        <w:rPr>
          <w:rFonts w:ascii="Arial" w:eastAsia="Calibri" w:hAnsi="Arial" w:cs="Arial"/>
          <w:color w:val="44546A" w:themeColor="text2"/>
          <w:sz w:val="24"/>
          <w:szCs w:val="24"/>
          <w:u w:val="single"/>
          <w:lang w:eastAsia="en-GB"/>
        </w:rPr>
        <w:t xml:space="preserve"> – </w:t>
      </w:r>
      <w:r w:rsidR="00C17841" w:rsidRPr="00C17841">
        <w:rPr>
          <w:rFonts w:ascii="Arial" w:eastAsia="Times New Roman" w:hAnsi="Arial" w:cs="Arial"/>
          <w:color w:val="44546A" w:themeColor="text2"/>
          <w:u w:val="single"/>
          <w:lang w:eastAsia="en-GB"/>
        </w:rPr>
        <w:t>Mortality rate from causes considered preventable (standardised rate per 1,000 persons)</w:t>
      </w:r>
    </w:p>
    <w:p w:rsidR="00C17841" w:rsidRPr="000D5C6C" w:rsidRDefault="00C17841" w:rsidP="000D5C6C">
      <w:pPr>
        <w:spacing w:after="0" w:line="240" w:lineRule="auto"/>
        <w:rPr>
          <w:rFonts w:ascii="Arial" w:eastAsia="Calibri" w:hAnsi="Arial" w:cs="Arial"/>
          <w:noProof/>
          <w:color w:val="44546A" w:themeColor="text2"/>
          <w:sz w:val="20"/>
          <w:szCs w:val="24"/>
          <w:lang w:eastAsia="en-GB"/>
        </w:rPr>
      </w:pPr>
      <w:r>
        <w:rPr>
          <w:noProof/>
          <w:lang w:eastAsia="en-GB"/>
        </w:rPr>
        <w:drawing>
          <wp:inline distT="0" distB="0" distL="0" distR="0" wp14:anchorId="2BE87339" wp14:editId="7DA85266">
            <wp:extent cx="4376057" cy="2710543"/>
            <wp:effectExtent l="0" t="0" r="5715" b="13970"/>
            <wp:docPr id="13340" name="Chart 133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rsidR="00FC459D" w:rsidRDefault="00FC459D" w:rsidP="000D5C6C">
      <w:pPr>
        <w:spacing w:after="0" w:line="240" w:lineRule="auto"/>
        <w:rPr>
          <w:rFonts w:ascii="Arial" w:eastAsia="Calibri" w:hAnsi="Arial" w:cs="Arial"/>
          <w:color w:val="44546A" w:themeColor="text2"/>
          <w:sz w:val="20"/>
          <w:szCs w:val="24"/>
          <w:lang w:eastAsia="en-GB"/>
        </w:rPr>
      </w:pPr>
    </w:p>
    <w:p w:rsidR="006A31AE" w:rsidRPr="000D5C6C" w:rsidRDefault="006A31AE" w:rsidP="000D5C6C">
      <w:pPr>
        <w:spacing w:after="0" w:line="240" w:lineRule="auto"/>
        <w:rPr>
          <w:rFonts w:ascii="Arial" w:eastAsia="Calibri" w:hAnsi="Arial" w:cs="Arial"/>
          <w:color w:val="44546A" w:themeColor="text2"/>
          <w:sz w:val="20"/>
          <w:szCs w:val="24"/>
          <w:lang w:eastAsia="en-GB"/>
        </w:rPr>
      </w:pPr>
      <w:r w:rsidRPr="000D5C6C">
        <w:rPr>
          <w:rFonts w:ascii="Arial" w:eastAsia="Calibri" w:hAnsi="Arial" w:cs="Arial"/>
          <w:color w:val="44546A" w:themeColor="text2"/>
          <w:sz w:val="20"/>
          <w:szCs w:val="24"/>
          <w:lang w:eastAsia="en-GB"/>
        </w:rPr>
        <w:t>Source: PHE Public Health Outcomes Framework Tool</w:t>
      </w:r>
    </w:p>
    <w:p w:rsidR="006A31AE" w:rsidRDefault="006A31AE" w:rsidP="006A31AE">
      <w:pPr>
        <w:spacing w:after="0" w:line="276" w:lineRule="auto"/>
        <w:rPr>
          <w:rFonts w:ascii="Arial" w:eastAsia="Calibri" w:hAnsi="Arial" w:cs="Arial"/>
          <w:sz w:val="24"/>
          <w:szCs w:val="24"/>
          <w:lang w:eastAsia="en-GB"/>
        </w:rPr>
      </w:pPr>
    </w:p>
    <w:p w:rsidR="004327FC" w:rsidRDefault="004327FC" w:rsidP="006A31AE">
      <w:pPr>
        <w:spacing w:after="0" w:line="276" w:lineRule="auto"/>
        <w:rPr>
          <w:rFonts w:ascii="Arial" w:eastAsia="Calibri" w:hAnsi="Arial" w:cs="Arial"/>
          <w:sz w:val="24"/>
          <w:szCs w:val="24"/>
          <w:lang w:eastAsia="en-GB"/>
        </w:rPr>
      </w:pPr>
    </w:p>
    <w:p w:rsidR="004327FC" w:rsidRDefault="004327FC" w:rsidP="006A31AE">
      <w:pPr>
        <w:spacing w:after="0" w:line="276" w:lineRule="auto"/>
        <w:rPr>
          <w:rFonts w:ascii="Arial" w:eastAsia="Calibri" w:hAnsi="Arial" w:cs="Arial"/>
          <w:sz w:val="24"/>
          <w:szCs w:val="24"/>
          <w:lang w:eastAsia="en-GB"/>
        </w:rPr>
      </w:pPr>
    </w:p>
    <w:p w:rsidR="004327FC" w:rsidRDefault="004327FC" w:rsidP="006A31AE">
      <w:pPr>
        <w:spacing w:after="0" w:line="276" w:lineRule="auto"/>
        <w:rPr>
          <w:rFonts w:ascii="Arial" w:eastAsia="Calibri" w:hAnsi="Arial" w:cs="Arial"/>
          <w:sz w:val="24"/>
          <w:szCs w:val="24"/>
          <w:lang w:eastAsia="en-GB"/>
        </w:rPr>
      </w:pPr>
    </w:p>
    <w:p w:rsidR="004327FC" w:rsidRDefault="004327FC" w:rsidP="006A31AE">
      <w:pPr>
        <w:spacing w:after="0" w:line="276" w:lineRule="auto"/>
        <w:rPr>
          <w:rFonts w:ascii="Arial" w:eastAsia="Calibri" w:hAnsi="Arial" w:cs="Arial"/>
          <w:sz w:val="24"/>
          <w:szCs w:val="24"/>
          <w:lang w:eastAsia="en-GB"/>
        </w:rPr>
      </w:pPr>
    </w:p>
    <w:p w:rsidR="004327FC" w:rsidRDefault="004327FC" w:rsidP="006A31AE">
      <w:pPr>
        <w:spacing w:after="0" w:line="276" w:lineRule="auto"/>
        <w:rPr>
          <w:rFonts w:ascii="Arial" w:eastAsia="Calibri" w:hAnsi="Arial" w:cs="Arial"/>
          <w:sz w:val="24"/>
          <w:szCs w:val="24"/>
          <w:lang w:eastAsia="en-GB"/>
        </w:rPr>
      </w:pPr>
    </w:p>
    <w:p w:rsidR="004327FC" w:rsidRDefault="004327FC" w:rsidP="006A31AE">
      <w:pPr>
        <w:spacing w:after="0" w:line="276" w:lineRule="auto"/>
        <w:rPr>
          <w:rFonts w:ascii="Arial" w:eastAsia="Calibri" w:hAnsi="Arial" w:cs="Arial"/>
          <w:sz w:val="24"/>
          <w:szCs w:val="24"/>
          <w:lang w:eastAsia="en-GB"/>
        </w:rPr>
      </w:pPr>
    </w:p>
    <w:p w:rsidR="004327FC" w:rsidRDefault="004327FC" w:rsidP="006A31AE">
      <w:pPr>
        <w:spacing w:after="0" w:line="276" w:lineRule="auto"/>
        <w:rPr>
          <w:rFonts w:ascii="Arial" w:eastAsia="Calibri" w:hAnsi="Arial" w:cs="Arial"/>
          <w:sz w:val="24"/>
          <w:szCs w:val="24"/>
          <w:lang w:eastAsia="en-GB"/>
        </w:rPr>
      </w:pPr>
    </w:p>
    <w:p w:rsidR="006A31AE" w:rsidRPr="006A31AE" w:rsidRDefault="00D648CA" w:rsidP="006A31AE">
      <w:pPr>
        <w:spacing w:after="0" w:line="276" w:lineRule="auto"/>
        <w:rPr>
          <w:rFonts w:ascii="Arial" w:eastAsia="Calibri" w:hAnsi="Arial" w:cs="Arial"/>
          <w:sz w:val="24"/>
          <w:szCs w:val="24"/>
          <w:lang w:eastAsia="en-GB"/>
        </w:rPr>
      </w:pPr>
      <w:r>
        <w:rPr>
          <w:rFonts w:ascii="Arial" w:eastAsia="Calibri" w:hAnsi="Arial" w:cs="Arial"/>
          <w:sz w:val="24"/>
          <w:szCs w:val="24"/>
          <w:lang w:eastAsia="en-GB"/>
        </w:rPr>
        <w:t>T</w:t>
      </w:r>
      <w:r w:rsidR="006A31AE" w:rsidRPr="006A31AE">
        <w:rPr>
          <w:rFonts w:ascii="Arial" w:eastAsia="Calibri" w:hAnsi="Arial" w:cs="Arial"/>
          <w:sz w:val="24"/>
          <w:szCs w:val="24"/>
          <w:lang w:eastAsia="en-GB"/>
        </w:rPr>
        <w:t xml:space="preserve">he mortality rate for cardiovascular disease for those aged under 75 in Croydon remains in line with the national average. For the period 2014-16 there were approximately 77.2 deaths </w:t>
      </w:r>
    </w:p>
    <w:p w:rsidR="006A31AE" w:rsidRPr="006A31AE" w:rsidRDefault="006A31AE" w:rsidP="006A31AE">
      <w:pPr>
        <w:spacing w:after="0" w:line="276" w:lineRule="auto"/>
        <w:rPr>
          <w:rFonts w:ascii="Arial" w:eastAsia="Calibri" w:hAnsi="Arial" w:cs="Arial"/>
          <w:sz w:val="24"/>
          <w:szCs w:val="24"/>
          <w:lang w:eastAsia="en-GB"/>
        </w:rPr>
      </w:pPr>
      <w:r w:rsidRPr="006A31AE">
        <w:rPr>
          <w:rFonts w:ascii="Arial" w:eastAsia="Calibri" w:hAnsi="Arial" w:cs="Arial"/>
          <w:sz w:val="24"/>
          <w:szCs w:val="24"/>
          <w:lang w:eastAsia="en-GB"/>
        </w:rPr>
        <w:t>was 126.8.</w:t>
      </w:r>
    </w:p>
    <w:p w:rsidR="002372F6" w:rsidRDefault="002372F6" w:rsidP="006A31AE">
      <w:pPr>
        <w:spacing w:after="0" w:line="276" w:lineRule="auto"/>
        <w:rPr>
          <w:rFonts w:ascii="Arial" w:eastAsia="Calibri" w:hAnsi="Arial" w:cs="Arial"/>
          <w:sz w:val="24"/>
          <w:szCs w:val="24"/>
          <w:lang w:eastAsia="en-GB"/>
        </w:rPr>
      </w:pPr>
    </w:p>
    <w:p w:rsidR="00B82B10" w:rsidRDefault="00B82B10" w:rsidP="006A31AE">
      <w:pPr>
        <w:spacing w:after="0" w:line="276" w:lineRule="auto"/>
        <w:rPr>
          <w:rFonts w:ascii="Arial" w:eastAsia="Calibri" w:hAnsi="Arial" w:cs="Arial"/>
          <w:sz w:val="24"/>
          <w:szCs w:val="24"/>
          <w:lang w:eastAsia="en-GB"/>
        </w:rPr>
      </w:pPr>
    </w:p>
    <w:p w:rsidR="000D2B12" w:rsidRDefault="000D2B12" w:rsidP="006A31AE">
      <w:pPr>
        <w:spacing w:after="0" w:line="276" w:lineRule="auto"/>
        <w:rPr>
          <w:rFonts w:ascii="Arial" w:eastAsia="Calibri" w:hAnsi="Arial" w:cs="Arial"/>
          <w:sz w:val="24"/>
          <w:szCs w:val="24"/>
          <w:lang w:eastAsia="en-GB"/>
        </w:rPr>
      </w:pPr>
    </w:p>
    <w:p w:rsidR="000D2B12" w:rsidRPr="006A31AE" w:rsidRDefault="000D2B12" w:rsidP="000D2B12">
      <w:pPr>
        <w:spacing w:after="0" w:line="240" w:lineRule="auto"/>
        <w:outlineLvl w:val="1"/>
        <w:rPr>
          <w:rFonts w:ascii="Arial" w:eastAsia="Times New Roman" w:hAnsi="Arial" w:cs="Arial"/>
          <w:b/>
          <w:bCs/>
          <w:color w:val="00B050"/>
          <w:sz w:val="28"/>
          <w:szCs w:val="24"/>
          <w:lang w:eastAsia="en-GB"/>
        </w:rPr>
      </w:pPr>
      <w:r>
        <w:rPr>
          <w:rFonts w:ascii="Arial" w:eastAsia="Times New Roman" w:hAnsi="Arial" w:cs="Arial"/>
          <w:b/>
          <w:bCs/>
          <w:color w:val="00B050"/>
          <w:sz w:val="28"/>
          <w:szCs w:val="24"/>
          <w:lang w:eastAsia="en-GB"/>
        </w:rPr>
        <w:t>Smoking related deaths</w:t>
      </w:r>
    </w:p>
    <w:p w:rsidR="00FC459D" w:rsidRDefault="00FC459D"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rate of smoking related deaths in Croydon remains better than the national average. For the period 2014-16 there were approximately 234.5 deaths per 100,000 people in Croydon compared to 246.7 across London and 272.0 nationally.</w:t>
      </w:r>
      <w:r w:rsidRPr="006A31AE">
        <w:rPr>
          <w:rFonts w:ascii="Arial" w:eastAsia="Calibri" w:hAnsi="Arial" w:cs="Arial"/>
          <w:sz w:val="24"/>
          <w:szCs w:val="24"/>
          <w:vertAlign w:val="superscript"/>
          <w:lang w:eastAsia="en-GB"/>
        </w:rPr>
        <w:footnoteReference w:id="31"/>
      </w:r>
    </w:p>
    <w:p w:rsidR="006A31AE" w:rsidRDefault="006A31AE" w:rsidP="006A31AE">
      <w:pPr>
        <w:spacing w:after="0" w:line="276" w:lineRule="auto"/>
        <w:rPr>
          <w:rFonts w:ascii="Arial" w:eastAsia="Calibri" w:hAnsi="Arial" w:cs="Arial"/>
          <w:sz w:val="24"/>
          <w:szCs w:val="24"/>
          <w:lang w:eastAsia="en-GB"/>
        </w:rPr>
      </w:pPr>
    </w:p>
    <w:p w:rsidR="000D2B12" w:rsidRDefault="000D2B12" w:rsidP="006A31AE">
      <w:pPr>
        <w:spacing w:after="0" w:line="276" w:lineRule="auto"/>
        <w:rPr>
          <w:rFonts w:ascii="Arial" w:eastAsia="Calibri" w:hAnsi="Arial" w:cs="Arial"/>
          <w:sz w:val="24"/>
          <w:szCs w:val="24"/>
          <w:lang w:eastAsia="en-GB"/>
        </w:rPr>
      </w:pPr>
    </w:p>
    <w:p w:rsidR="00B82B10" w:rsidRDefault="00B82B10" w:rsidP="006A31AE">
      <w:pPr>
        <w:spacing w:after="0" w:line="276" w:lineRule="auto"/>
        <w:rPr>
          <w:rFonts w:ascii="Arial" w:eastAsia="Calibri" w:hAnsi="Arial" w:cs="Arial"/>
          <w:sz w:val="24"/>
          <w:szCs w:val="24"/>
          <w:lang w:eastAsia="en-GB"/>
        </w:rPr>
      </w:pPr>
    </w:p>
    <w:p w:rsidR="000D2B12" w:rsidRDefault="000D2B12" w:rsidP="000D2B12">
      <w:pPr>
        <w:spacing w:after="0" w:line="240" w:lineRule="auto"/>
        <w:outlineLvl w:val="1"/>
        <w:rPr>
          <w:rFonts w:ascii="Arial" w:eastAsia="Times New Roman" w:hAnsi="Arial" w:cs="Arial"/>
          <w:b/>
          <w:bCs/>
          <w:color w:val="00B050"/>
          <w:sz w:val="28"/>
          <w:szCs w:val="24"/>
          <w:lang w:eastAsia="en-GB"/>
        </w:rPr>
      </w:pPr>
      <w:r w:rsidRPr="000D2B12">
        <w:rPr>
          <w:rFonts w:ascii="Arial" w:eastAsia="Times New Roman" w:hAnsi="Arial" w:cs="Arial"/>
          <w:b/>
          <w:bCs/>
          <w:color w:val="00B050"/>
          <w:sz w:val="28"/>
          <w:szCs w:val="24"/>
          <w:lang w:eastAsia="en-GB"/>
        </w:rPr>
        <w:t>Suicide rate</w:t>
      </w:r>
    </w:p>
    <w:p w:rsidR="000D2B12" w:rsidRPr="000D2B12" w:rsidRDefault="000D2B12" w:rsidP="000D2B12">
      <w:pPr>
        <w:spacing w:after="0" w:line="240" w:lineRule="auto"/>
        <w:outlineLvl w:val="1"/>
        <w:rPr>
          <w:rFonts w:ascii="Arial" w:eastAsia="Times New Roman" w:hAnsi="Arial" w:cs="Arial"/>
          <w:b/>
          <w:bCs/>
          <w:color w:val="00B050"/>
          <w:sz w:val="28"/>
          <w:szCs w:val="24"/>
          <w:lang w:eastAsia="en-GB"/>
        </w:rPr>
      </w:pPr>
    </w:p>
    <w:p w:rsidR="00E32102" w:rsidRDefault="006A31AE" w:rsidP="006A31AE">
      <w:pPr>
        <w:spacing w:after="0" w:line="276" w:lineRule="auto"/>
        <w:rPr>
          <w:rFonts w:ascii="Arial" w:eastAsia="Calibri" w:hAnsi="Arial" w:cs="Arial"/>
          <w:sz w:val="24"/>
          <w:szCs w:val="24"/>
          <w:lang w:eastAsia="en-GB"/>
        </w:rPr>
      </w:pPr>
      <w:r w:rsidRPr="008A460B">
        <w:rPr>
          <w:rFonts w:ascii="Arial" w:eastAsia="Calibri" w:hAnsi="Arial" w:cs="Arial"/>
          <w:sz w:val="24"/>
          <w:szCs w:val="24"/>
          <w:lang w:eastAsia="en-GB"/>
        </w:rPr>
        <w:t xml:space="preserve">The suicide rate in Croydon was </w:t>
      </w:r>
      <w:r w:rsidR="008A460B" w:rsidRPr="008A460B">
        <w:rPr>
          <w:rFonts w:ascii="Arial" w:eastAsia="Calibri" w:hAnsi="Arial" w:cs="Arial"/>
          <w:sz w:val="24"/>
          <w:szCs w:val="24"/>
          <w:lang w:eastAsia="en-GB"/>
        </w:rPr>
        <w:t xml:space="preserve">lower than both the regional and national averages at 7.1 deaths per 100,000 for 2015-2017.  </w:t>
      </w:r>
      <w:r w:rsidRPr="008A460B">
        <w:rPr>
          <w:rFonts w:ascii="Arial" w:eastAsia="Calibri" w:hAnsi="Arial" w:cs="Arial"/>
          <w:sz w:val="24"/>
          <w:szCs w:val="24"/>
          <w:lang w:eastAsia="en-GB"/>
        </w:rPr>
        <w:t>For this</w:t>
      </w:r>
      <w:r w:rsidR="008A460B" w:rsidRPr="008A460B">
        <w:rPr>
          <w:rFonts w:ascii="Arial" w:eastAsia="Calibri" w:hAnsi="Arial" w:cs="Arial"/>
          <w:sz w:val="24"/>
          <w:szCs w:val="24"/>
          <w:lang w:eastAsia="en-GB"/>
        </w:rPr>
        <w:t xml:space="preserve"> period the London rate was 8.6</w:t>
      </w:r>
      <w:r w:rsidRPr="008A460B">
        <w:rPr>
          <w:rFonts w:ascii="Arial" w:eastAsia="Calibri" w:hAnsi="Arial" w:cs="Arial"/>
          <w:sz w:val="24"/>
          <w:szCs w:val="24"/>
          <w:lang w:eastAsia="en-GB"/>
        </w:rPr>
        <w:t xml:space="preserve"> and the national rate was 9.</w:t>
      </w:r>
      <w:r w:rsidR="008A460B" w:rsidRPr="008A460B">
        <w:rPr>
          <w:rFonts w:ascii="Arial" w:eastAsia="Calibri" w:hAnsi="Arial" w:cs="Arial"/>
          <w:sz w:val="24"/>
          <w:szCs w:val="24"/>
          <w:lang w:eastAsia="en-GB"/>
        </w:rPr>
        <w:t>6</w:t>
      </w:r>
      <w:r w:rsidRPr="008A460B">
        <w:rPr>
          <w:rFonts w:ascii="Arial" w:eastAsia="Calibri" w:hAnsi="Arial" w:cs="Arial"/>
          <w:sz w:val="24"/>
          <w:szCs w:val="24"/>
          <w:lang w:eastAsia="en-GB"/>
        </w:rPr>
        <w:t>.</w:t>
      </w:r>
      <w:r w:rsidRPr="008A460B">
        <w:rPr>
          <w:rFonts w:ascii="Arial" w:eastAsia="Calibri" w:hAnsi="Arial" w:cs="Arial"/>
          <w:sz w:val="24"/>
          <w:szCs w:val="24"/>
          <w:lang w:eastAsia="en-GB"/>
        </w:rPr>
        <w:footnoteReference w:id="32"/>
      </w:r>
      <w:r w:rsidR="005D648A">
        <w:rPr>
          <w:rFonts w:ascii="Arial" w:eastAsia="Calibri" w:hAnsi="Arial" w:cs="Arial"/>
          <w:sz w:val="24"/>
          <w:szCs w:val="24"/>
          <w:lang w:eastAsia="en-GB"/>
        </w:rPr>
        <w:t xml:space="preserve"> </w:t>
      </w:r>
    </w:p>
    <w:p w:rsidR="005D648A" w:rsidRDefault="005D648A" w:rsidP="006A31AE">
      <w:pPr>
        <w:spacing w:after="0" w:line="276" w:lineRule="auto"/>
        <w:rPr>
          <w:rFonts w:ascii="Arial" w:eastAsia="Calibri" w:hAnsi="Arial" w:cs="Arial"/>
          <w:sz w:val="24"/>
          <w:szCs w:val="24"/>
          <w:lang w:eastAsia="en-GB"/>
        </w:rPr>
      </w:pPr>
    </w:p>
    <w:p w:rsidR="00B82B10" w:rsidRDefault="00B82B10" w:rsidP="006A31AE">
      <w:pPr>
        <w:spacing w:after="0" w:line="276" w:lineRule="auto"/>
        <w:rPr>
          <w:rFonts w:ascii="Arial" w:eastAsia="Calibri" w:hAnsi="Arial" w:cs="Arial"/>
          <w:sz w:val="24"/>
          <w:szCs w:val="24"/>
          <w:lang w:eastAsia="en-GB"/>
        </w:rPr>
      </w:pPr>
    </w:p>
    <w:p w:rsidR="002D5DE0" w:rsidRPr="002D5DE0" w:rsidRDefault="002D5DE0" w:rsidP="002D5DE0">
      <w:pPr>
        <w:spacing w:after="0" w:line="240" w:lineRule="auto"/>
        <w:outlineLvl w:val="1"/>
        <w:rPr>
          <w:rFonts w:ascii="Arial" w:eastAsia="Times New Roman" w:hAnsi="Arial" w:cs="Arial"/>
          <w:b/>
          <w:bCs/>
          <w:color w:val="00B050"/>
          <w:sz w:val="28"/>
          <w:szCs w:val="24"/>
          <w:lang w:eastAsia="en-GB"/>
        </w:rPr>
      </w:pPr>
      <w:r w:rsidRPr="002D5DE0">
        <w:rPr>
          <w:rFonts w:ascii="Arial" w:eastAsia="Times New Roman" w:hAnsi="Arial" w:cs="Arial"/>
          <w:b/>
          <w:bCs/>
          <w:color w:val="00B050"/>
          <w:sz w:val="28"/>
          <w:szCs w:val="24"/>
          <w:lang w:eastAsia="en-GB"/>
        </w:rPr>
        <w:t>Excess Winter deaths</w:t>
      </w:r>
    </w:p>
    <w:p w:rsidR="002D5DE0" w:rsidRPr="002D5DE0" w:rsidRDefault="002D5DE0" w:rsidP="006A31AE">
      <w:pPr>
        <w:spacing w:after="0" w:line="276" w:lineRule="auto"/>
        <w:rPr>
          <w:rFonts w:ascii="Arial" w:eastAsia="Calibri" w:hAnsi="Arial" w:cs="Arial"/>
          <w:sz w:val="24"/>
          <w:szCs w:val="24"/>
          <w:lang w:eastAsia="en-GB"/>
        </w:rPr>
      </w:pPr>
    </w:p>
    <w:p w:rsidR="00E874F1" w:rsidRDefault="006A31AE" w:rsidP="00FC459D">
      <w:pPr>
        <w:spacing w:after="0" w:line="276" w:lineRule="auto"/>
        <w:rPr>
          <w:rFonts w:ascii="Arial" w:eastAsia="Calibri" w:hAnsi="Arial" w:cs="Arial"/>
          <w:sz w:val="24"/>
          <w:szCs w:val="24"/>
          <w:lang w:eastAsia="en-GB"/>
        </w:rPr>
      </w:pPr>
      <w:r w:rsidRPr="002D5DE0">
        <w:rPr>
          <w:rFonts w:ascii="Arial" w:eastAsia="Calibri" w:hAnsi="Arial" w:cs="Arial"/>
          <w:sz w:val="24"/>
          <w:szCs w:val="24"/>
          <w:lang w:eastAsia="en-GB"/>
        </w:rPr>
        <w:t xml:space="preserve">Excess winter deaths are reported as the ratio of extra deaths that occur during the winter months compared to the number of expected deaths based on the average number of non-winter deaths. </w:t>
      </w:r>
    </w:p>
    <w:p w:rsidR="00E874F1" w:rsidRDefault="00E874F1" w:rsidP="00FC459D">
      <w:pPr>
        <w:spacing w:after="0" w:line="276" w:lineRule="auto"/>
        <w:rPr>
          <w:rFonts w:ascii="Arial" w:eastAsia="Calibri" w:hAnsi="Arial" w:cs="Arial"/>
          <w:sz w:val="24"/>
          <w:szCs w:val="24"/>
          <w:lang w:eastAsia="en-GB"/>
        </w:rPr>
      </w:pPr>
    </w:p>
    <w:p w:rsidR="00E32102" w:rsidRPr="00E874F1" w:rsidRDefault="002D5DE0" w:rsidP="00FC459D">
      <w:pPr>
        <w:spacing w:after="0" w:line="276" w:lineRule="auto"/>
        <w:rPr>
          <w:rFonts w:ascii="Arial" w:eastAsia="Calibri" w:hAnsi="Arial" w:cs="Arial"/>
          <w:sz w:val="24"/>
          <w:szCs w:val="24"/>
          <w:lang w:eastAsia="en-GB"/>
        </w:rPr>
      </w:pPr>
      <w:r w:rsidRPr="002D5DE0">
        <w:rPr>
          <w:rFonts w:ascii="Arial" w:eastAsia="Calibri" w:hAnsi="Arial" w:cs="Arial"/>
          <w:sz w:val="24"/>
          <w:szCs w:val="24"/>
          <w:lang w:eastAsia="en-GB"/>
        </w:rPr>
        <w:t>The latest calculated figure for</w:t>
      </w:r>
      <w:r w:rsidR="006A31AE" w:rsidRPr="002D5DE0">
        <w:rPr>
          <w:rFonts w:ascii="Arial" w:eastAsia="Calibri" w:hAnsi="Arial" w:cs="Arial"/>
          <w:sz w:val="24"/>
          <w:szCs w:val="24"/>
          <w:lang w:eastAsia="en-GB"/>
        </w:rPr>
        <w:t xml:space="preserve"> the period August 201</w:t>
      </w:r>
      <w:r w:rsidRPr="002D5DE0">
        <w:rPr>
          <w:rFonts w:ascii="Arial" w:eastAsia="Calibri" w:hAnsi="Arial" w:cs="Arial"/>
          <w:sz w:val="24"/>
          <w:szCs w:val="24"/>
          <w:lang w:eastAsia="en-GB"/>
        </w:rPr>
        <w:t>6</w:t>
      </w:r>
      <w:r w:rsidR="006A31AE" w:rsidRPr="002D5DE0">
        <w:rPr>
          <w:rFonts w:ascii="Arial" w:eastAsia="Calibri" w:hAnsi="Arial" w:cs="Arial"/>
          <w:sz w:val="24"/>
          <w:szCs w:val="24"/>
          <w:lang w:eastAsia="en-GB"/>
        </w:rPr>
        <w:t xml:space="preserve"> to July 201</w:t>
      </w:r>
      <w:r w:rsidRPr="002D5DE0">
        <w:rPr>
          <w:rFonts w:ascii="Arial" w:eastAsia="Calibri" w:hAnsi="Arial" w:cs="Arial"/>
          <w:sz w:val="24"/>
          <w:szCs w:val="24"/>
          <w:lang w:eastAsia="en-GB"/>
        </w:rPr>
        <w:t>7</w:t>
      </w:r>
      <w:r w:rsidR="006A31AE" w:rsidRPr="002D5DE0">
        <w:rPr>
          <w:rFonts w:ascii="Arial" w:eastAsia="Calibri" w:hAnsi="Arial" w:cs="Arial"/>
          <w:sz w:val="24"/>
          <w:szCs w:val="24"/>
          <w:lang w:eastAsia="en-GB"/>
        </w:rPr>
        <w:t xml:space="preserve"> for Croydon was 1</w:t>
      </w:r>
      <w:r w:rsidRPr="002D5DE0">
        <w:rPr>
          <w:rFonts w:ascii="Arial" w:eastAsia="Calibri" w:hAnsi="Arial" w:cs="Arial"/>
          <w:sz w:val="24"/>
          <w:szCs w:val="24"/>
          <w:lang w:eastAsia="en-GB"/>
        </w:rPr>
        <w:t>9.8 which was lower than both London (22.9) and England (21.6).</w:t>
      </w:r>
    </w:p>
    <w:p w:rsidR="00E60D7C" w:rsidRPr="004327FC" w:rsidRDefault="00E60D7C" w:rsidP="00FC459D">
      <w:pPr>
        <w:spacing w:after="0" w:line="276" w:lineRule="auto"/>
        <w:rPr>
          <w:rFonts w:ascii="Arial" w:eastAsia="Calibri" w:hAnsi="Arial" w:cs="Arial"/>
          <w:color w:val="000000" w:themeColor="text1"/>
          <w:sz w:val="24"/>
          <w:szCs w:val="24"/>
          <w:lang w:eastAsia="en-GB"/>
        </w:rPr>
      </w:pPr>
    </w:p>
    <w:p w:rsidR="004E590B" w:rsidRPr="004327FC" w:rsidRDefault="004E590B" w:rsidP="004E590B">
      <w:pPr>
        <w:spacing w:after="0" w:line="240" w:lineRule="auto"/>
        <w:rPr>
          <w:rFonts w:ascii="Arial" w:eastAsia="Calibri" w:hAnsi="Arial" w:cs="Arial"/>
          <w:color w:val="000000" w:themeColor="text1"/>
          <w:sz w:val="24"/>
          <w:szCs w:val="24"/>
          <w:u w:val="single"/>
          <w:lang w:eastAsia="en-GB"/>
        </w:rPr>
      </w:pPr>
      <w:r w:rsidRPr="004327FC">
        <w:rPr>
          <w:rFonts w:ascii="Arial" w:eastAsia="Calibri" w:hAnsi="Arial" w:cs="Arial"/>
          <w:color w:val="000000" w:themeColor="text1"/>
          <w:sz w:val="24"/>
          <w:szCs w:val="24"/>
          <w:u w:val="single"/>
          <w:lang w:eastAsia="en-GB"/>
        </w:rPr>
        <w:t>Figure 1</w:t>
      </w:r>
      <w:r w:rsidR="00E60D7C" w:rsidRPr="004327FC">
        <w:rPr>
          <w:rFonts w:ascii="Arial" w:eastAsia="Calibri" w:hAnsi="Arial" w:cs="Arial"/>
          <w:color w:val="000000" w:themeColor="text1"/>
          <w:sz w:val="24"/>
          <w:szCs w:val="24"/>
          <w:u w:val="single"/>
          <w:lang w:eastAsia="en-GB"/>
        </w:rPr>
        <w:t>6</w:t>
      </w:r>
      <w:r w:rsidRPr="004327FC">
        <w:rPr>
          <w:rFonts w:ascii="Arial" w:eastAsia="Calibri" w:hAnsi="Arial" w:cs="Arial"/>
          <w:color w:val="000000" w:themeColor="text1"/>
          <w:sz w:val="24"/>
          <w:szCs w:val="24"/>
          <w:u w:val="single"/>
          <w:lang w:eastAsia="en-GB"/>
        </w:rPr>
        <w:t xml:space="preserve"> - Excess winter deaths index (single year, all ages) calculated from August to the following July.</w:t>
      </w:r>
    </w:p>
    <w:p w:rsidR="004E590B" w:rsidRPr="00E17F0A" w:rsidRDefault="004E590B" w:rsidP="006A31AE">
      <w:pPr>
        <w:spacing w:after="0" w:line="276" w:lineRule="auto"/>
        <w:rPr>
          <w:rFonts w:ascii="Arial" w:eastAsia="Calibri" w:hAnsi="Arial" w:cs="Arial"/>
          <w:color w:val="44546A" w:themeColor="text2"/>
          <w:sz w:val="24"/>
          <w:szCs w:val="24"/>
          <w:u w:val="single"/>
          <w:lang w:eastAsia="en-GB"/>
        </w:rPr>
      </w:pPr>
    </w:p>
    <w:p w:rsidR="00267CB0" w:rsidRPr="0025133E" w:rsidRDefault="00E17F0A" w:rsidP="006A31AE">
      <w:pPr>
        <w:spacing w:after="0" w:line="276" w:lineRule="auto"/>
        <w:rPr>
          <w:rFonts w:ascii="Arial" w:eastAsia="Calibri" w:hAnsi="Arial" w:cs="Arial"/>
          <w:color w:val="44546A" w:themeColor="text2"/>
          <w:sz w:val="24"/>
          <w:szCs w:val="24"/>
          <w:lang w:eastAsia="en-GB"/>
        </w:rPr>
      </w:pPr>
      <w:r>
        <w:rPr>
          <w:noProof/>
          <w:lang w:eastAsia="en-GB"/>
        </w:rPr>
        <w:drawing>
          <wp:inline distT="0" distB="0" distL="0" distR="0" wp14:anchorId="58081A7B" wp14:editId="74283BF0">
            <wp:extent cx="4130040" cy="2316480"/>
            <wp:effectExtent l="0" t="0" r="3810" b="7620"/>
            <wp:docPr id="13909" name="Chart 1390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25133E" w:rsidRDefault="004E590B" w:rsidP="006A31AE">
      <w:pPr>
        <w:spacing w:after="0" w:line="276" w:lineRule="auto"/>
        <w:rPr>
          <w:rFonts w:ascii="Arial" w:eastAsia="Calibri" w:hAnsi="Arial" w:cs="Arial"/>
          <w:color w:val="44546A" w:themeColor="text2"/>
          <w:sz w:val="20"/>
          <w:szCs w:val="20"/>
          <w:lang w:eastAsia="en-GB"/>
        </w:rPr>
      </w:pPr>
      <w:r w:rsidRPr="004E590B">
        <w:rPr>
          <w:rFonts w:ascii="Arial" w:eastAsia="Calibri" w:hAnsi="Arial" w:cs="Arial"/>
          <w:color w:val="44546A" w:themeColor="text2"/>
          <w:sz w:val="20"/>
          <w:szCs w:val="20"/>
          <w:lang w:eastAsia="en-GB"/>
        </w:rPr>
        <w:t>Source: Office for National Statistics: Public Health England Annual Births and Mortality Extracts</w:t>
      </w:r>
    </w:p>
    <w:p w:rsidR="00D20927" w:rsidRDefault="00D20927" w:rsidP="006A31AE">
      <w:pPr>
        <w:spacing w:after="0" w:line="240" w:lineRule="auto"/>
        <w:rPr>
          <w:rFonts w:ascii="Arial" w:eastAsia="Calibri" w:hAnsi="Arial" w:cs="Arial"/>
          <w:sz w:val="24"/>
          <w:szCs w:val="24"/>
          <w:lang w:eastAsia="en-GB"/>
        </w:rPr>
      </w:pPr>
    </w:p>
    <w:p w:rsidR="00E17F0A" w:rsidRDefault="00E17F0A" w:rsidP="006A31AE">
      <w:pPr>
        <w:spacing w:after="0" w:line="240" w:lineRule="auto"/>
        <w:rPr>
          <w:rFonts w:ascii="Arial" w:eastAsia="Calibri" w:hAnsi="Arial" w:cs="Arial"/>
          <w:sz w:val="24"/>
          <w:szCs w:val="24"/>
          <w:lang w:eastAsia="en-GB"/>
        </w:rPr>
        <w:sectPr w:rsidR="00E17F0A" w:rsidSect="00540DCD">
          <w:headerReference w:type="default" r:id="rId151"/>
          <w:footerReference w:type="default" r:id="rId152"/>
          <w:pgSz w:w="16838" w:h="11906" w:orient="landscape"/>
          <w:pgMar w:top="1440" w:right="1387" w:bottom="568" w:left="1440" w:header="708" w:footer="576" w:gutter="0"/>
          <w:cols w:num="2" w:space="708"/>
          <w:docGrid w:linePitch="360"/>
        </w:sectPr>
      </w:pP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0" w:line="240" w:lineRule="auto"/>
        <w:rPr>
          <w:rFonts w:ascii="Arial" w:eastAsia="Times New Roman" w:hAnsi="Arial" w:cs="Arial"/>
          <w:b/>
          <w:bCs/>
          <w:color w:val="701471"/>
          <w:sz w:val="32"/>
          <w:szCs w:val="28"/>
          <w:lang w:eastAsia="en-GB"/>
        </w:rPr>
      </w:pPr>
      <w:r w:rsidRPr="006A31AE">
        <w:rPr>
          <w:rFonts w:ascii="Arial" w:eastAsia="Times New Roman" w:hAnsi="Arial" w:cs="Arial"/>
          <w:b/>
          <w:bCs/>
          <w:noProof/>
          <w:color w:val="701471"/>
          <w:sz w:val="32"/>
          <w:szCs w:val="28"/>
          <w:lang w:eastAsia="en-GB"/>
        </w:rPr>
        <w:drawing>
          <wp:inline distT="0" distB="0" distL="0" distR="0" wp14:anchorId="17BDD9AB" wp14:editId="69543BC7">
            <wp:extent cx="628415" cy="666695"/>
            <wp:effectExtent l="19050" t="0" r="235" b="0"/>
            <wp:docPr id="303" name="Picture 13"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63" cstate="print"/>
                    <a:stretch>
                      <a:fillRect/>
                    </a:stretch>
                  </pic:blipFill>
                  <pic:spPr>
                    <a:xfrm>
                      <a:off x="0" y="0"/>
                      <a:ext cx="628415" cy="666695"/>
                    </a:xfrm>
                    <a:prstGeom prst="rect">
                      <a:avLst/>
                    </a:prstGeom>
                  </pic:spPr>
                </pic:pic>
              </a:graphicData>
            </a:graphic>
          </wp:inline>
        </w:drawing>
      </w:r>
      <w:r w:rsidRPr="006A31AE">
        <w:rPr>
          <w:rFonts w:ascii="Arial" w:eastAsia="Calibri" w:hAnsi="Arial" w:cs="Arial"/>
          <w:sz w:val="24"/>
          <w:szCs w:val="24"/>
          <w:lang w:eastAsia="en-GB"/>
        </w:rPr>
        <w:t xml:space="preserve">  </w:t>
      </w:r>
      <w:r w:rsidRPr="006A31AE">
        <w:rPr>
          <w:rFonts w:ascii="Arial" w:eastAsia="Times New Roman" w:hAnsi="Arial" w:cs="Arial"/>
          <w:b/>
          <w:bCs/>
          <w:color w:val="701471"/>
          <w:sz w:val="40"/>
          <w:szCs w:val="28"/>
          <w:lang w:eastAsia="en-GB"/>
        </w:rPr>
        <w:t>Social care</w:t>
      </w:r>
    </w:p>
    <w:p w:rsidR="006A31AE" w:rsidRPr="006A31AE" w:rsidRDefault="006A31AE" w:rsidP="006A31AE">
      <w:pPr>
        <w:spacing w:after="0" w:line="276" w:lineRule="auto"/>
        <w:rPr>
          <w:rFonts w:ascii="Arial" w:eastAsia="Calibri" w:hAnsi="Arial" w:cs="Arial"/>
          <w:sz w:val="24"/>
          <w:szCs w:val="24"/>
          <w:lang w:eastAsia="en-GB"/>
        </w:rPr>
      </w:pPr>
      <w:r w:rsidRPr="006A31AE">
        <w:rPr>
          <w:rFonts w:ascii="Arial" w:eastAsia="Times New Roman" w:hAnsi="Arial" w:cs="Arial"/>
          <w:bCs/>
          <w:noProof/>
          <w:color w:val="701471"/>
          <w:sz w:val="28"/>
          <w:szCs w:val="28"/>
          <w:lang w:eastAsia="en-GB"/>
        </w:rPr>
        <mc:AlternateContent>
          <mc:Choice Requires="wps">
            <w:drawing>
              <wp:anchor distT="0" distB="0" distL="114300" distR="114300" simplePos="0" relativeHeight="251739136" behindDoc="0" locked="0" layoutInCell="1" allowOverlap="1" wp14:anchorId="5F862625" wp14:editId="38724603">
                <wp:simplePos x="0" y="0"/>
                <wp:positionH relativeFrom="margin">
                  <wp:posOffset>-266700</wp:posOffset>
                </wp:positionH>
                <wp:positionV relativeFrom="paragraph">
                  <wp:posOffset>231775</wp:posOffset>
                </wp:positionV>
                <wp:extent cx="4183380" cy="4724400"/>
                <wp:effectExtent l="0" t="0" r="26670" b="19050"/>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3380" cy="4724400"/>
                        </a:xfrm>
                        <a:prstGeom prst="rect">
                          <a:avLst/>
                        </a:prstGeom>
                        <a:solidFill>
                          <a:srgbClr val="FFFFFF"/>
                        </a:solidFill>
                        <a:ln w="9525">
                          <a:solidFill>
                            <a:srgbClr val="000000"/>
                          </a:solidFill>
                          <a:miter lim="800000"/>
                          <a:headEnd/>
                          <a:tailEnd/>
                        </a:ln>
                      </wps:spPr>
                      <wps:txbx>
                        <w:txbxContent>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Areas of progress</w:t>
                            </w:r>
                          </w:p>
                          <w:p w:rsidR="00721450" w:rsidRPr="006C1B2B" w:rsidRDefault="00721450" w:rsidP="006A31AE">
                            <w:pPr>
                              <w:spacing w:after="0" w:line="240" w:lineRule="auto"/>
                              <w:rPr>
                                <w:rFonts w:eastAsia="Times New Roman"/>
                                <w:bCs/>
                                <w:color w:val="701471"/>
                                <w:sz w:val="28"/>
                                <w:szCs w:val="28"/>
                                <w:lang w:eastAsia="en-GB"/>
                              </w:rPr>
                            </w:pPr>
                          </w:p>
                          <w:p w:rsidR="00721450" w:rsidRPr="00A069A7" w:rsidRDefault="00721450" w:rsidP="006A31AE">
                            <w:pPr>
                              <w:pStyle w:val="ListParagraph"/>
                              <w:numPr>
                                <w:ilvl w:val="0"/>
                                <w:numId w:val="1"/>
                              </w:numPr>
                              <w:spacing w:after="0" w:line="240" w:lineRule="auto"/>
                              <w:rPr>
                                <w:rFonts w:eastAsia="Times New Roman"/>
                                <w:bCs/>
                                <w:lang w:eastAsia="en-GB"/>
                              </w:rPr>
                            </w:pPr>
                            <w:r w:rsidRPr="00A069A7">
                              <w:rPr>
                                <w:rFonts w:eastAsia="Times New Roman"/>
                                <w:bCs/>
                                <w:lang w:eastAsia="en-GB"/>
                              </w:rPr>
                              <w:t>A reduction in the rate of children in need.</w:t>
                            </w:r>
                          </w:p>
                          <w:p w:rsidR="00721450" w:rsidRDefault="00721450" w:rsidP="006A31AE">
                            <w:pPr>
                              <w:pStyle w:val="ListParagraph"/>
                              <w:numPr>
                                <w:ilvl w:val="0"/>
                                <w:numId w:val="1"/>
                              </w:numPr>
                              <w:spacing w:after="0" w:line="240" w:lineRule="auto"/>
                              <w:rPr>
                                <w:rFonts w:eastAsia="Times New Roman"/>
                                <w:bCs/>
                                <w:lang w:eastAsia="en-GB"/>
                              </w:rPr>
                            </w:pPr>
                            <w:r w:rsidRPr="00A069A7">
                              <w:rPr>
                                <w:rFonts w:eastAsia="Times New Roman"/>
                                <w:bCs/>
                                <w:lang w:eastAsia="en-GB"/>
                              </w:rPr>
                              <w:t>A reduction in the number of local Looked After Children</w:t>
                            </w:r>
                          </w:p>
                          <w:p w:rsidR="00721450" w:rsidRPr="00C044A5" w:rsidRDefault="00721450" w:rsidP="001356B1">
                            <w:pPr>
                              <w:pStyle w:val="ListParagraph"/>
                              <w:numPr>
                                <w:ilvl w:val="0"/>
                                <w:numId w:val="1"/>
                              </w:numPr>
                              <w:spacing w:after="0" w:line="240" w:lineRule="auto"/>
                              <w:rPr>
                                <w:rFonts w:eastAsia="Times New Roman"/>
                                <w:bCs/>
                                <w:color w:val="006600"/>
                                <w:sz w:val="28"/>
                                <w:szCs w:val="28"/>
                                <w:lang w:eastAsia="en-GB"/>
                              </w:rPr>
                            </w:pPr>
                            <w:r>
                              <w:rPr>
                                <w:rFonts w:eastAsia="Times New Roman"/>
                                <w:bCs/>
                                <w:lang w:eastAsia="en-GB"/>
                              </w:rPr>
                              <w:t>I</w:t>
                            </w:r>
                            <w:r w:rsidRPr="00C044A5">
                              <w:rPr>
                                <w:rFonts w:eastAsia="Calibri"/>
                              </w:rPr>
                              <w:t>mprovement in the effectiveness of reablement services in Croydon since 2010/11.The latest outcome for 2017/2018 shows Croydon is doing much better than the average for both London and England</w:t>
                            </w:r>
                            <w:r>
                              <w:rPr>
                                <w:rFonts w:eastAsia="Calibri"/>
                              </w:rPr>
                              <w:t>.</w:t>
                            </w:r>
                          </w:p>
                          <w:p w:rsidR="00721450" w:rsidRPr="00C044A5" w:rsidRDefault="00721450" w:rsidP="00C044A5">
                            <w:pPr>
                              <w:spacing w:after="0" w:line="240" w:lineRule="auto"/>
                              <w:rPr>
                                <w:rFonts w:eastAsia="Times New Roman"/>
                                <w:bCs/>
                                <w:color w:val="006600"/>
                                <w:sz w:val="28"/>
                                <w:szCs w:val="28"/>
                                <w:lang w:eastAsia="en-GB"/>
                              </w:rPr>
                            </w:pPr>
                          </w:p>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Challenges</w:t>
                            </w:r>
                          </w:p>
                          <w:p w:rsidR="00721450" w:rsidRPr="006C1B2B" w:rsidRDefault="00721450" w:rsidP="006A31AE">
                            <w:pPr>
                              <w:spacing w:after="0" w:line="240" w:lineRule="auto"/>
                              <w:rPr>
                                <w:rFonts w:eastAsia="Times New Roman"/>
                                <w:bCs/>
                                <w:color w:val="701471"/>
                                <w:sz w:val="28"/>
                                <w:szCs w:val="28"/>
                                <w:lang w:eastAsia="en-GB"/>
                              </w:rPr>
                            </w:pPr>
                          </w:p>
                          <w:p w:rsidR="00721450" w:rsidRDefault="00721450" w:rsidP="006A31AE">
                            <w:pPr>
                              <w:pStyle w:val="ListParagraph"/>
                              <w:numPr>
                                <w:ilvl w:val="0"/>
                                <w:numId w:val="2"/>
                              </w:numPr>
                            </w:pPr>
                            <w:r w:rsidRPr="0006301F">
                              <w:t>The rate of referrals to children’s social care is now higher than both the regional and national averages.</w:t>
                            </w:r>
                          </w:p>
                          <w:p w:rsidR="00721450" w:rsidRDefault="00721450" w:rsidP="006A31AE">
                            <w:pPr>
                              <w:pStyle w:val="ListParagraph"/>
                              <w:numPr>
                                <w:ilvl w:val="0"/>
                                <w:numId w:val="2"/>
                              </w:numPr>
                            </w:pPr>
                            <w:r w:rsidRPr="0006301F">
                              <w:t>The demand for local authority children’s services remains high in line with national trends.</w:t>
                            </w:r>
                          </w:p>
                          <w:p w:rsidR="00721450" w:rsidRPr="0006301F" w:rsidRDefault="00721450" w:rsidP="006A31AE">
                            <w:pPr>
                              <w:pStyle w:val="ListParagraph"/>
                              <w:numPr>
                                <w:ilvl w:val="0"/>
                                <w:numId w:val="2"/>
                              </w:numPr>
                            </w:pPr>
                            <w:r>
                              <w:t>Croydon has the highest number of Looked After Children in London.</w:t>
                            </w:r>
                          </w:p>
                          <w:p w:rsidR="00721450" w:rsidRDefault="00721450" w:rsidP="006A31AE"/>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862625" id="_x0000_s1087" type="#_x0000_t202" style="position:absolute;margin-left:-21pt;margin-top:18.25pt;width:329.4pt;height:372pt;z-index:251739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">
                <v:textbox>
                  <w:txbxContent>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Areas of progress</w:t>
                      </w:r>
                    </w:p>
                    <w:p w:rsidR="00721450" w:rsidRPr="006C1B2B" w:rsidRDefault="00721450" w:rsidP="006A31AE">
                      <w:pPr>
                        <w:spacing w:after="0" w:line="240" w:lineRule="auto"/>
                        <w:rPr>
                          <w:rFonts w:eastAsia="Times New Roman"/>
                          <w:bCs/>
                          <w:color w:val="701471"/>
                          <w:sz w:val="28"/>
                          <w:szCs w:val="28"/>
                          <w:lang w:eastAsia="en-GB"/>
                        </w:rPr>
                      </w:pPr>
                    </w:p>
                    <w:p w:rsidR="00721450" w:rsidRPr="00A069A7" w:rsidRDefault="00721450" w:rsidP="006A31AE">
                      <w:pPr>
                        <w:pStyle w:val="ListParagraph"/>
                        <w:numPr>
                          <w:ilvl w:val="0"/>
                          <w:numId w:val="1"/>
                        </w:numPr>
                        <w:spacing w:after="0" w:line="240" w:lineRule="auto"/>
                        <w:rPr>
                          <w:rFonts w:eastAsia="Times New Roman"/>
                          <w:bCs/>
                          <w:lang w:eastAsia="en-GB"/>
                        </w:rPr>
                      </w:pPr>
                      <w:r w:rsidRPr="00A069A7">
                        <w:rPr>
                          <w:rFonts w:eastAsia="Times New Roman"/>
                          <w:bCs/>
                          <w:lang w:eastAsia="en-GB"/>
                        </w:rPr>
                        <w:t>A reduction in the rate of children in need.</w:t>
                      </w:r>
                    </w:p>
                    <w:p w:rsidR="00721450" w:rsidRDefault="00721450" w:rsidP="006A31AE">
                      <w:pPr>
                        <w:pStyle w:val="ListParagraph"/>
                        <w:numPr>
                          <w:ilvl w:val="0"/>
                          <w:numId w:val="1"/>
                        </w:numPr>
                        <w:spacing w:after="0" w:line="240" w:lineRule="auto"/>
                        <w:rPr>
                          <w:rFonts w:eastAsia="Times New Roman"/>
                          <w:bCs/>
                          <w:lang w:eastAsia="en-GB"/>
                        </w:rPr>
                      </w:pPr>
                      <w:r w:rsidRPr="00A069A7">
                        <w:rPr>
                          <w:rFonts w:eastAsia="Times New Roman"/>
                          <w:bCs/>
                          <w:lang w:eastAsia="en-GB"/>
                        </w:rPr>
                        <w:t>A reduction in the number of local Looked After Children</w:t>
                      </w:r>
                    </w:p>
                    <w:p w:rsidR="00721450" w:rsidRPr="00C044A5" w:rsidRDefault="00721450" w:rsidP="001356B1">
                      <w:pPr>
                        <w:pStyle w:val="ListParagraph"/>
                        <w:numPr>
                          <w:ilvl w:val="0"/>
                          <w:numId w:val="1"/>
                        </w:numPr>
                        <w:spacing w:after="0" w:line="240" w:lineRule="auto"/>
                        <w:rPr>
                          <w:rFonts w:eastAsia="Times New Roman"/>
                          <w:bCs/>
                          <w:color w:val="006600"/>
                          <w:sz w:val="28"/>
                          <w:szCs w:val="28"/>
                          <w:lang w:eastAsia="en-GB"/>
                        </w:rPr>
                      </w:pPr>
                      <w:r>
                        <w:rPr>
                          <w:rFonts w:eastAsia="Times New Roman"/>
                          <w:bCs/>
                          <w:lang w:eastAsia="en-GB"/>
                        </w:rPr>
                        <w:t>I</w:t>
                      </w:r>
                      <w:r w:rsidRPr="00C044A5">
                        <w:rPr>
                          <w:rFonts w:eastAsia="Calibri"/>
                        </w:rPr>
                        <w:t>mprovement in the effectiveness of reablement services in Croydon since 2010/11.The latest outcome for 2017/2018 shows Croydon is doing much better than the average for both London and England</w:t>
                      </w:r>
                      <w:r>
                        <w:rPr>
                          <w:rFonts w:eastAsia="Calibri"/>
                        </w:rPr>
                        <w:t>.</w:t>
                      </w:r>
                    </w:p>
                    <w:p w:rsidR="00721450" w:rsidRPr="00C044A5" w:rsidRDefault="00721450" w:rsidP="00C044A5">
                      <w:pPr>
                        <w:spacing w:after="0" w:line="240" w:lineRule="auto"/>
                        <w:rPr>
                          <w:rFonts w:eastAsia="Times New Roman"/>
                          <w:bCs/>
                          <w:color w:val="006600"/>
                          <w:sz w:val="28"/>
                          <w:szCs w:val="28"/>
                          <w:lang w:eastAsia="en-GB"/>
                        </w:rPr>
                      </w:pPr>
                    </w:p>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Challenges</w:t>
                      </w:r>
                    </w:p>
                    <w:p w:rsidR="00721450" w:rsidRPr="006C1B2B" w:rsidRDefault="00721450" w:rsidP="006A31AE">
                      <w:pPr>
                        <w:spacing w:after="0" w:line="240" w:lineRule="auto"/>
                        <w:rPr>
                          <w:rFonts w:eastAsia="Times New Roman"/>
                          <w:bCs/>
                          <w:color w:val="701471"/>
                          <w:sz w:val="28"/>
                          <w:szCs w:val="28"/>
                          <w:lang w:eastAsia="en-GB"/>
                        </w:rPr>
                      </w:pPr>
                    </w:p>
                    <w:p w:rsidR="00721450" w:rsidRDefault="00721450" w:rsidP="006A31AE">
                      <w:pPr>
                        <w:pStyle w:val="ListParagraph"/>
                        <w:numPr>
                          <w:ilvl w:val="0"/>
                          <w:numId w:val="2"/>
                        </w:numPr>
                      </w:pPr>
                      <w:r w:rsidRPr="0006301F">
                        <w:t>The rate of referrals to children’s social care is now higher than both the regional and national averages.</w:t>
                      </w:r>
                    </w:p>
                    <w:p w:rsidR="00721450" w:rsidRDefault="00721450" w:rsidP="006A31AE">
                      <w:pPr>
                        <w:pStyle w:val="ListParagraph"/>
                        <w:numPr>
                          <w:ilvl w:val="0"/>
                          <w:numId w:val="2"/>
                        </w:numPr>
                      </w:pPr>
                      <w:r w:rsidRPr="0006301F">
                        <w:t>The demand for local authority children’s services remains high in line with national trends.</w:t>
                      </w:r>
                    </w:p>
                    <w:p w:rsidR="00721450" w:rsidRPr="0006301F" w:rsidRDefault="00721450" w:rsidP="006A31AE">
                      <w:pPr>
                        <w:pStyle w:val="ListParagraph"/>
                        <w:numPr>
                          <w:ilvl w:val="0"/>
                          <w:numId w:val="2"/>
                        </w:numPr>
                      </w:pPr>
                      <w:r>
                        <w:t>Croydon has the highest number of Looked After Children in London.</w:t>
                      </w:r>
                    </w:p>
                    <w:p w:rsidR="00721450" w:rsidRDefault="00721450" w:rsidP="006A31AE"/>
                  </w:txbxContent>
                </v:textbox>
                <w10:wrap anchorx="margin"/>
              </v:shape>
            </w:pict>
          </mc:Fallback>
        </mc:AlternateContent>
      </w: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Default="006A31AE" w:rsidP="006A31AE">
      <w:pPr>
        <w:spacing w:after="0" w:line="276" w:lineRule="auto"/>
        <w:rPr>
          <w:rFonts w:ascii="Arial" w:eastAsia="Calibri" w:hAnsi="Arial" w:cs="Arial"/>
          <w:sz w:val="24"/>
          <w:szCs w:val="24"/>
          <w:lang w:eastAsia="en-GB"/>
        </w:rPr>
      </w:pPr>
    </w:p>
    <w:p w:rsidR="00142100" w:rsidRDefault="00142100" w:rsidP="006A31AE">
      <w:pPr>
        <w:spacing w:after="0" w:line="276" w:lineRule="auto"/>
        <w:rPr>
          <w:rFonts w:ascii="Arial" w:eastAsia="Calibri" w:hAnsi="Arial" w:cs="Arial"/>
          <w:sz w:val="24"/>
          <w:szCs w:val="24"/>
          <w:lang w:eastAsia="en-GB"/>
        </w:rPr>
      </w:pPr>
    </w:p>
    <w:p w:rsidR="00D20927" w:rsidRDefault="00D20927" w:rsidP="006A31AE">
      <w:pPr>
        <w:spacing w:after="0" w:line="276" w:lineRule="auto"/>
        <w:rPr>
          <w:rFonts w:ascii="Arial" w:eastAsia="Calibri" w:hAnsi="Arial" w:cs="Arial"/>
          <w:sz w:val="24"/>
          <w:szCs w:val="24"/>
          <w:lang w:eastAsia="en-GB"/>
        </w:rPr>
      </w:pPr>
    </w:p>
    <w:p w:rsidR="00142100" w:rsidRPr="006A31AE" w:rsidRDefault="00142100"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Overview</w:t>
      </w:r>
    </w:p>
    <w:p w:rsidR="006A31AE" w:rsidRPr="006A31AE" w:rsidRDefault="006A31AE"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This section provides a brief overview of social care clients in Croydon. It looks at:</w:t>
      </w:r>
    </w:p>
    <w:p w:rsidR="006A31AE" w:rsidRPr="006A31AE" w:rsidRDefault="006A31AE" w:rsidP="006A31AE">
      <w:pPr>
        <w:numPr>
          <w:ilvl w:val="0"/>
          <w:numId w:val="5"/>
        </w:numPr>
        <w:spacing w:after="0" w:line="240" w:lineRule="auto"/>
        <w:contextualSpacing/>
        <w:rPr>
          <w:rFonts w:ascii="Arial" w:eastAsia="Times New Roman" w:hAnsi="Arial" w:cs="Arial"/>
          <w:bCs/>
          <w:color w:val="0000FF"/>
          <w:sz w:val="24"/>
          <w:szCs w:val="24"/>
          <w:u w:val="single"/>
          <w:lang w:eastAsia="en-GB"/>
        </w:rPr>
      </w:pPr>
      <w:r w:rsidRPr="006A31AE">
        <w:rPr>
          <w:rFonts w:ascii="Arial" w:eastAsia="Times New Roman" w:hAnsi="Arial" w:cs="Arial"/>
          <w:bCs/>
          <w:sz w:val="24"/>
          <w:szCs w:val="24"/>
          <w:lang w:eastAsia="en-GB"/>
        </w:rPr>
        <w:fldChar w:fldCharType="begin"/>
      </w:r>
      <w:r w:rsidRPr="006A31AE">
        <w:rPr>
          <w:rFonts w:ascii="Arial" w:eastAsia="Times New Roman" w:hAnsi="Arial" w:cs="Arial"/>
          <w:bCs/>
          <w:sz w:val="24"/>
          <w:szCs w:val="24"/>
          <w:lang w:eastAsia="en-GB"/>
        </w:rPr>
        <w:instrText xml:space="preserve"> HYPERLINK  \l "_Children_in_need" </w:instrText>
      </w:r>
      <w:r w:rsidRPr="006A31AE">
        <w:rPr>
          <w:rFonts w:ascii="Arial" w:eastAsia="Times New Roman" w:hAnsi="Arial" w:cs="Arial"/>
          <w:bCs/>
          <w:sz w:val="24"/>
          <w:szCs w:val="24"/>
          <w:lang w:eastAsia="en-GB"/>
        </w:rPr>
        <w:fldChar w:fldCharType="separate"/>
      </w:r>
      <w:r w:rsidRPr="006A31AE">
        <w:rPr>
          <w:rFonts w:ascii="Arial" w:eastAsia="Times New Roman" w:hAnsi="Arial" w:cs="Arial"/>
          <w:bCs/>
          <w:color w:val="0000FF"/>
          <w:sz w:val="24"/>
          <w:szCs w:val="24"/>
          <w:u w:val="single"/>
          <w:lang w:eastAsia="en-GB"/>
        </w:rPr>
        <w:t>Children in need</w:t>
      </w:r>
    </w:p>
    <w:p w:rsidR="006A31AE" w:rsidRPr="006A31AE" w:rsidRDefault="006A31AE" w:rsidP="006A31AE">
      <w:pPr>
        <w:numPr>
          <w:ilvl w:val="0"/>
          <w:numId w:val="5"/>
        </w:numPr>
        <w:spacing w:after="0" w:line="240" w:lineRule="auto"/>
        <w:contextualSpacing/>
        <w:rPr>
          <w:rFonts w:ascii="Arial" w:eastAsia="Times New Roman" w:hAnsi="Arial" w:cs="Arial"/>
          <w:bCs/>
          <w:sz w:val="24"/>
          <w:szCs w:val="24"/>
          <w:lang w:eastAsia="en-GB"/>
        </w:rPr>
      </w:pPr>
      <w:r w:rsidRPr="006A31AE">
        <w:rPr>
          <w:rFonts w:ascii="Arial" w:eastAsia="Times New Roman" w:hAnsi="Arial" w:cs="Arial"/>
          <w:bCs/>
          <w:sz w:val="24"/>
          <w:szCs w:val="24"/>
          <w:lang w:eastAsia="en-GB"/>
        </w:rPr>
        <w:fldChar w:fldCharType="end"/>
      </w:r>
      <w:hyperlink w:anchor="_Looked_After_Children" w:history="1">
        <w:r w:rsidRPr="006A31AE">
          <w:rPr>
            <w:rFonts w:ascii="Arial" w:eastAsia="Times New Roman" w:hAnsi="Arial" w:cs="Arial"/>
            <w:bCs/>
            <w:color w:val="0000FF"/>
            <w:sz w:val="24"/>
            <w:szCs w:val="24"/>
            <w:u w:val="single"/>
            <w:lang w:eastAsia="en-GB"/>
          </w:rPr>
          <w:t>Looked After Children</w:t>
        </w:r>
      </w:hyperlink>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Adult_safeguarding" w:history="1">
        <w:r w:rsidR="006A31AE" w:rsidRPr="006A31AE">
          <w:rPr>
            <w:rFonts w:ascii="Arial" w:eastAsia="Times New Roman" w:hAnsi="Arial" w:cs="Arial"/>
            <w:bCs/>
            <w:color w:val="0000FF"/>
            <w:sz w:val="24"/>
            <w:szCs w:val="24"/>
            <w:u w:val="single"/>
            <w:lang w:eastAsia="en-GB"/>
          </w:rPr>
          <w:t>Adult safeguarding</w:t>
        </w:r>
      </w:hyperlink>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Adults_receiving_care" w:history="1">
        <w:r w:rsidR="006A31AE" w:rsidRPr="006A31AE">
          <w:rPr>
            <w:rFonts w:ascii="Arial" w:eastAsia="Times New Roman" w:hAnsi="Arial" w:cs="Arial"/>
            <w:bCs/>
            <w:color w:val="0000FF"/>
            <w:sz w:val="24"/>
            <w:szCs w:val="24"/>
            <w:u w:val="single"/>
            <w:lang w:eastAsia="en-GB"/>
          </w:rPr>
          <w:t>Adults receiving care</w:t>
        </w:r>
      </w:hyperlink>
    </w:p>
    <w:p w:rsidR="006A31AE" w:rsidRPr="006A31AE" w:rsidRDefault="006A31AE" w:rsidP="006A31AE">
      <w:pPr>
        <w:spacing w:after="0" w:line="240" w:lineRule="auto"/>
        <w:rPr>
          <w:rFonts w:ascii="Arial" w:eastAsia="Times New Roman" w:hAnsi="Arial" w:cs="Arial"/>
          <w:bCs/>
          <w:sz w:val="24"/>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bookmarkStart w:id="24" w:name="_Children_in_need"/>
      <w:bookmarkEnd w:id="24"/>
    </w:p>
    <w:p w:rsidR="005D0B91" w:rsidRPr="006A31AE" w:rsidRDefault="005D0B91"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Children in need</w:t>
      </w:r>
    </w:p>
    <w:p w:rsidR="00B6100D" w:rsidRDefault="00B6100D" w:rsidP="006A31AE">
      <w:pPr>
        <w:spacing w:after="200" w:line="276" w:lineRule="auto"/>
        <w:rPr>
          <w:rFonts w:ascii="Arial" w:eastAsia="Calibri" w:hAnsi="Arial" w:cs="Arial"/>
          <w:sz w:val="24"/>
          <w:szCs w:val="24"/>
        </w:rPr>
      </w:pPr>
    </w:p>
    <w:p w:rsidR="00CF6E02" w:rsidRDefault="00B6100D" w:rsidP="005D0B91">
      <w:pPr>
        <w:spacing w:after="0" w:line="240" w:lineRule="auto"/>
        <w:rPr>
          <w:rFonts w:ascii="Arial" w:eastAsia="Calibri" w:hAnsi="Arial" w:cs="Arial"/>
          <w:sz w:val="24"/>
          <w:szCs w:val="24"/>
        </w:rPr>
      </w:pPr>
      <w:r w:rsidRPr="00B6100D">
        <w:rPr>
          <w:rFonts w:ascii="Arial" w:eastAsia="Calibri" w:hAnsi="Arial" w:cs="Arial"/>
          <w:sz w:val="24"/>
          <w:szCs w:val="24"/>
        </w:rPr>
        <w:t xml:space="preserve">As at </w:t>
      </w:r>
      <w:r w:rsidR="006A31AE" w:rsidRPr="00B6100D">
        <w:rPr>
          <w:rFonts w:ascii="Arial" w:eastAsia="Calibri" w:hAnsi="Arial" w:cs="Arial"/>
          <w:sz w:val="24"/>
          <w:szCs w:val="24"/>
        </w:rPr>
        <w:t>31 March 2017</w:t>
      </w:r>
      <w:r w:rsidRPr="00B6100D">
        <w:rPr>
          <w:rFonts w:ascii="Arial" w:eastAsia="Calibri" w:hAnsi="Arial" w:cs="Arial"/>
          <w:sz w:val="24"/>
          <w:szCs w:val="24"/>
        </w:rPr>
        <w:t xml:space="preserve">, there were </w:t>
      </w:r>
      <w:r w:rsidR="006A31AE" w:rsidRPr="00B6100D">
        <w:rPr>
          <w:rFonts w:ascii="Arial" w:eastAsia="Calibri" w:hAnsi="Arial" w:cs="Arial"/>
          <w:sz w:val="24"/>
          <w:szCs w:val="24"/>
        </w:rPr>
        <w:t>392.7 children in need for every 10,000 children</w:t>
      </w:r>
      <w:r w:rsidRPr="00B6100D">
        <w:rPr>
          <w:rFonts w:ascii="Arial" w:eastAsia="Calibri" w:hAnsi="Arial" w:cs="Arial"/>
          <w:sz w:val="24"/>
          <w:szCs w:val="24"/>
        </w:rPr>
        <w:t xml:space="preserve"> in Croydon</w:t>
      </w:r>
      <w:r w:rsidR="006A31AE" w:rsidRPr="00B6100D">
        <w:rPr>
          <w:rFonts w:ascii="Arial" w:eastAsia="Calibri" w:hAnsi="Arial" w:cs="Arial"/>
          <w:sz w:val="24"/>
          <w:szCs w:val="24"/>
        </w:rPr>
        <w:t xml:space="preserve">. </w:t>
      </w:r>
      <w:r>
        <w:rPr>
          <w:rFonts w:ascii="Arial" w:eastAsia="Calibri" w:hAnsi="Arial" w:cs="Arial"/>
          <w:sz w:val="24"/>
          <w:szCs w:val="24"/>
        </w:rPr>
        <w:t xml:space="preserve">A year later and </w:t>
      </w:r>
      <w:r w:rsidRPr="00B6100D">
        <w:rPr>
          <w:rFonts w:ascii="Arial" w:eastAsia="Calibri" w:hAnsi="Arial" w:cs="Arial"/>
          <w:sz w:val="24"/>
          <w:szCs w:val="24"/>
        </w:rPr>
        <w:t xml:space="preserve">the rate of children in need in Croydon has risen to 548.50 per 10,000 which is close to the </w:t>
      </w:r>
      <w:r w:rsidR="006A31AE" w:rsidRPr="00B6100D">
        <w:rPr>
          <w:rFonts w:ascii="Arial" w:eastAsia="Calibri" w:hAnsi="Arial" w:cs="Arial"/>
          <w:sz w:val="24"/>
          <w:szCs w:val="24"/>
        </w:rPr>
        <w:t>all-time high of 569.3 per 10,000 children in 2011</w:t>
      </w:r>
      <w:r w:rsidRPr="00B6100D">
        <w:rPr>
          <w:rFonts w:ascii="Arial" w:eastAsia="Calibri" w:hAnsi="Arial" w:cs="Arial"/>
          <w:sz w:val="24"/>
          <w:szCs w:val="24"/>
        </w:rPr>
        <w:t xml:space="preserve">. </w:t>
      </w:r>
    </w:p>
    <w:p w:rsidR="00CF6E02" w:rsidRDefault="00CF6E02" w:rsidP="005D0B91">
      <w:pPr>
        <w:spacing w:after="0" w:line="240" w:lineRule="auto"/>
        <w:rPr>
          <w:rFonts w:ascii="Arial" w:eastAsia="Calibri" w:hAnsi="Arial" w:cs="Arial"/>
          <w:sz w:val="24"/>
          <w:szCs w:val="24"/>
        </w:rPr>
      </w:pPr>
    </w:p>
    <w:p w:rsidR="006A31AE" w:rsidRPr="00A069A7" w:rsidRDefault="006A31AE" w:rsidP="006A31AE">
      <w:pPr>
        <w:spacing w:after="200" w:line="276" w:lineRule="auto"/>
        <w:rPr>
          <w:rFonts w:ascii="Arial" w:eastAsia="Calibri" w:hAnsi="Arial" w:cs="Arial"/>
          <w:sz w:val="24"/>
          <w:szCs w:val="24"/>
        </w:rPr>
      </w:pPr>
      <w:r w:rsidRPr="00A069A7">
        <w:rPr>
          <w:rFonts w:ascii="Arial" w:eastAsia="Calibri" w:hAnsi="Arial" w:cs="Arial"/>
          <w:sz w:val="24"/>
          <w:szCs w:val="24"/>
        </w:rPr>
        <w:t xml:space="preserve">The most common reason for a child being in need </w:t>
      </w:r>
      <w:r w:rsidR="00A069A7" w:rsidRPr="00A069A7">
        <w:rPr>
          <w:rFonts w:ascii="Arial" w:eastAsia="Calibri" w:hAnsi="Arial" w:cs="Arial"/>
          <w:sz w:val="24"/>
          <w:szCs w:val="24"/>
        </w:rPr>
        <w:t>in Croydon is</w:t>
      </w:r>
      <w:r w:rsidRPr="00A069A7">
        <w:rPr>
          <w:rFonts w:ascii="Arial" w:eastAsia="Calibri" w:hAnsi="Arial" w:cs="Arial"/>
          <w:sz w:val="24"/>
          <w:szCs w:val="24"/>
        </w:rPr>
        <w:t xml:space="preserve"> abuse or neglec</w:t>
      </w:r>
      <w:r w:rsidR="00A069A7" w:rsidRPr="00A069A7">
        <w:rPr>
          <w:rFonts w:ascii="Arial" w:eastAsia="Calibri" w:hAnsi="Arial" w:cs="Arial"/>
          <w:sz w:val="24"/>
          <w:szCs w:val="24"/>
        </w:rPr>
        <w:t>t and a</w:t>
      </w:r>
      <w:r w:rsidRPr="00A069A7">
        <w:rPr>
          <w:rFonts w:ascii="Arial" w:eastAsia="Calibri" w:hAnsi="Arial" w:cs="Arial"/>
          <w:sz w:val="24"/>
          <w:szCs w:val="24"/>
        </w:rPr>
        <w:t>bsent parenting</w:t>
      </w:r>
      <w:r w:rsidR="00A069A7" w:rsidRPr="00A069A7">
        <w:rPr>
          <w:rFonts w:ascii="Arial" w:eastAsia="Calibri" w:hAnsi="Arial" w:cs="Arial"/>
          <w:sz w:val="24"/>
          <w:szCs w:val="24"/>
        </w:rPr>
        <w:t xml:space="preserve">.  The high figures are </w:t>
      </w:r>
      <w:r w:rsidRPr="00A069A7">
        <w:rPr>
          <w:rFonts w:ascii="Arial" w:eastAsia="Calibri" w:hAnsi="Arial" w:cs="Arial"/>
          <w:sz w:val="24"/>
          <w:szCs w:val="24"/>
        </w:rPr>
        <w:t>distorted by the high number of unaccompanied asylum seeking children in the borough.</w:t>
      </w:r>
    </w:p>
    <w:p w:rsidR="006A31AE" w:rsidRPr="00CF6E02" w:rsidRDefault="006A31AE" w:rsidP="0042008C">
      <w:pPr>
        <w:spacing w:after="0" w:line="240" w:lineRule="auto"/>
        <w:rPr>
          <w:rFonts w:ascii="Arial" w:eastAsia="Calibri" w:hAnsi="Arial" w:cs="Arial"/>
          <w:sz w:val="24"/>
          <w:szCs w:val="24"/>
        </w:rPr>
      </w:pPr>
    </w:p>
    <w:p w:rsidR="00045B40" w:rsidRDefault="00045B40" w:rsidP="0042008C">
      <w:pPr>
        <w:spacing w:after="0" w:line="240" w:lineRule="auto"/>
        <w:rPr>
          <w:rFonts w:ascii="Arial" w:eastAsia="Calibri" w:hAnsi="Arial" w:cs="Arial"/>
          <w:sz w:val="24"/>
          <w:szCs w:val="24"/>
        </w:rPr>
      </w:pPr>
    </w:p>
    <w:p w:rsidR="005D0B91" w:rsidRDefault="005D0B91" w:rsidP="0042008C">
      <w:pPr>
        <w:spacing w:after="0" w:line="240" w:lineRule="auto"/>
        <w:rPr>
          <w:rFonts w:ascii="Arial" w:eastAsia="Calibri" w:hAnsi="Arial" w:cs="Arial"/>
          <w:sz w:val="24"/>
          <w:szCs w:val="24"/>
        </w:rPr>
      </w:pPr>
    </w:p>
    <w:p w:rsidR="006A31AE" w:rsidRPr="00CF6E02" w:rsidRDefault="006A31AE" w:rsidP="0042008C">
      <w:pPr>
        <w:spacing w:after="0" w:line="240" w:lineRule="auto"/>
        <w:rPr>
          <w:rFonts w:ascii="Arial" w:eastAsia="Calibri" w:hAnsi="Arial" w:cs="Arial"/>
          <w:sz w:val="24"/>
          <w:szCs w:val="24"/>
        </w:rPr>
      </w:pPr>
      <w:r w:rsidRPr="00CF6E02">
        <w:rPr>
          <w:rFonts w:ascii="Arial" w:eastAsia="Calibri" w:hAnsi="Arial" w:cs="Arial"/>
          <w:sz w:val="24"/>
          <w:szCs w:val="24"/>
        </w:rPr>
        <w:t>The rate of referrals to children’s social care increased to 5</w:t>
      </w:r>
      <w:r w:rsidR="00CF6E02" w:rsidRPr="00CF6E02">
        <w:rPr>
          <w:rFonts w:ascii="Arial" w:eastAsia="Calibri" w:hAnsi="Arial" w:cs="Arial"/>
          <w:sz w:val="24"/>
          <w:szCs w:val="24"/>
        </w:rPr>
        <w:t>48.50</w:t>
      </w:r>
      <w:r w:rsidRPr="00CF6E02">
        <w:rPr>
          <w:rFonts w:ascii="Arial" w:eastAsia="Calibri" w:hAnsi="Arial" w:cs="Arial"/>
          <w:sz w:val="24"/>
          <w:szCs w:val="24"/>
        </w:rPr>
        <w:t xml:space="preserve"> per 10,000 in 201</w:t>
      </w:r>
      <w:r w:rsidR="00CF6E02" w:rsidRPr="00CF6E02">
        <w:rPr>
          <w:rFonts w:ascii="Arial" w:eastAsia="Calibri" w:hAnsi="Arial" w:cs="Arial"/>
          <w:sz w:val="24"/>
          <w:szCs w:val="24"/>
        </w:rPr>
        <w:t>7/2018</w:t>
      </w:r>
      <w:r w:rsidRPr="00CF6E02">
        <w:rPr>
          <w:rFonts w:ascii="Arial" w:eastAsia="Calibri" w:hAnsi="Arial" w:cs="Arial"/>
          <w:sz w:val="24"/>
          <w:szCs w:val="24"/>
        </w:rPr>
        <w:t xml:space="preserve"> and is now </w:t>
      </w:r>
      <w:r w:rsidR="00CF6E02" w:rsidRPr="00CF6E02">
        <w:rPr>
          <w:rFonts w:ascii="Arial" w:eastAsia="Calibri" w:hAnsi="Arial" w:cs="Arial"/>
          <w:sz w:val="24"/>
          <w:szCs w:val="24"/>
        </w:rPr>
        <w:t xml:space="preserve">noticeably much </w:t>
      </w:r>
      <w:r w:rsidRPr="00CF6E02">
        <w:rPr>
          <w:rFonts w:ascii="Arial" w:eastAsia="Calibri" w:hAnsi="Arial" w:cs="Arial"/>
          <w:sz w:val="24"/>
          <w:szCs w:val="24"/>
        </w:rPr>
        <w:t>higher than both the regional and national averages.</w:t>
      </w:r>
    </w:p>
    <w:p w:rsidR="006A31AE" w:rsidRPr="00CF6E02" w:rsidRDefault="006A31AE" w:rsidP="006A31AE">
      <w:pPr>
        <w:spacing w:after="200" w:line="276" w:lineRule="auto"/>
        <w:rPr>
          <w:rFonts w:ascii="Arial" w:eastAsia="Calibri" w:hAnsi="Arial" w:cs="Arial"/>
          <w:sz w:val="24"/>
          <w:szCs w:val="24"/>
          <w:lang w:eastAsia="en-GB"/>
        </w:rPr>
      </w:pPr>
    </w:p>
    <w:p w:rsidR="006A31AE" w:rsidRPr="00CF6E02" w:rsidRDefault="006A31AE" w:rsidP="006A31AE">
      <w:pPr>
        <w:spacing w:after="200" w:line="276" w:lineRule="auto"/>
        <w:rPr>
          <w:rFonts w:ascii="Arial" w:eastAsia="Calibri" w:hAnsi="Arial" w:cs="Arial"/>
          <w:sz w:val="24"/>
          <w:szCs w:val="24"/>
          <w:u w:val="single"/>
          <w:lang w:eastAsia="en-GB"/>
        </w:rPr>
      </w:pPr>
      <w:r w:rsidRPr="00CF6E02">
        <w:rPr>
          <w:rFonts w:ascii="Arial" w:eastAsia="Calibri" w:hAnsi="Arial" w:cs="Arial"/>
          <w:sz w:val="24"/>
          <w:szCs w:val="24"/>
          <w:u w:val="single"/>
          <w:lang w:eastAsia="en-GB"/>
        </w:rPr>
        <w:t>Figure 1 – Rate of referrals per 10,000 children</w:t>
      </w:r>
    </w:p>
    <w:p w:rsidR="006A31AE" w:rsidRPr="00CF6E02" w:rsidRDefault="00CF6E02" w:rsidP="000D5C6C">
      <w:pPr>
        <w:spacing w:after="0" w:line="240" w:lineRule="auto"/>
        <w:rPr>
          <w:rFonts w:ascii="Arial" w:eastAsia="Calibri" w:hAnsi="Arial" w:cs="Arial"/>
          <w:sz w:val="24"/>
          <w:szCs w:val="24"/>
          <w:lang w:eastAsia="en-GB"/>
        </w:rPr>
      </w:pPr>
      <w:r w:rsidRPr="00CF6E02">
        <w:rPr>
          <w:noProof/>
          <w:lang w:eastAsia="en-GB"/>
        </w:rPr>
        <w:drawing>
          <wp:inline distT="0" distB="0" distL="0" distR="0" wp14:anchorId="2F1F6FAD" wp14:editId="71D9B0AE">
            <wp:extent cx="4206875" cy="2595880"/>
            <wp:effectExtent l="0" t="0" r="3175" b="13970"/>
            <wp:docPr id="13922" name="Chart 139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3"/>
              </a:graphicData>
            </a:graphic>
          </wp:inline>
        </w:drawing>
      </w:r>
    </w:p>
    <w:p w:rsidR="006A31AE" w:rsidRPr="000D5C6C" w:rsidRDefault="006A31AE" w:rsidP="000D5C6C">
      <w:pPr>
        <w:spacing w:after="0" w:line="240" w:lineRule="auto"/>
        <w:rPr>
          <w:rFonts w:ascii="Arial" w:eastAsia="Calibri" w:hAnsi="Arial" w:cs="Arial"/>
          <w:sz w:val="20"/>
          <w:szCs w:val="20"/>
          <w:lang w:eastAsia="en-GB"/>
        </w:rPr>
      </w:pPr>
      <w:r w:rsidRPr="000D5C6C">
        <w:rPr>
          <w:rFonts w:ascii="Arial" w:eastAsia="Calibri" w:hAnsi="Arial" w:cs="Arial"/>
          <w:sz w:val="20"/>
          <w:szCs w:val="20"/>
          <w:lang w:eastAsia="en-GB"/>
        </w:rPr>
        <w:t>Source: DfE LAIT</w:t>
      </w:r>
    </w:p>
    <w:p w:rsidR="00D20927" w:rsidRDefault="00D20927" w:rsidP="006A31AE">
      <w:pPr>
        <w:spacing w:after="200" w:line="276" w:lineRule="auto"/>
        <w:rPr>
          <w:rFonts w:ascii="Arial" w:eastAsia="Calibri" w:hAnsi="Arial" w:cs="Arial"/>
          <w:sz w:val="24"/>
          <w:szCs w:val="24"/>
          <w:lang w:eastAsia="en-GB"/>
        </w:rPr>
      </w:pPr>
    </w:p>
    <w:p w:rsidR="00045B40" w:rsidRDefault="006A31AE" w:rsidP="006A31AE">
      <w:pPr>
        <w:spacing w:after="200" w:line="276" w:lineRule="auto"/>
        <w:rPr>
          <w:rFonts w:ascii="Arial" w:eastAsia="Calibri" w:hAnsi="Arial" w:cs="Arial"/>
          <w:sz w:val="24"/>
          <w:szCs w:val="24"/>
          <w:lang w:eastAsia="en-GB"/>
        </w:rPr>
      </w:pPr>
      <w:r w:rsidRPr="004E0DE3">
        <w:rPr>
          <w:rFonts w:ascii="Arial" w:eastAsia="Calibri" w:hAnsi="Arial" w:cs="Arial"/>
          <w:sz w:val="24"/>
          <w:szCs w:val="24"/>
          <w:lang w:eastAsia="en-GB"/>
        </w:rPr>
        <w:t>The number of section 47 enquiries, investigations undertaken where there is reasonable cause to suspect that a child is suffering or is likely to suffer significant harm, has been rising in Croydon since 2013/</w:t>
      </w:r>
      <w:r w:rsidR="004E0DE3" w:rsidRPr="004E0DE3">
        <w:rPr>
          <w:rFonts w:ascii="Arial" w:eastAsia="Calibri" w:hAnsi="Arial" w:cs="Arial"/>
          <w:sz w:val="24"/>
          <w:szCs w:val="24"/>
          <w:lang w:eastAsia="en-GB"/>
        </w:rPr>
        <w:t>20</w:t>
      </w:r>
      <w:r w:rsidRPr="004E0DE3">
        <w:rPr>
          <w:rFonts w:ascii="Arial" w:eastAsia="Calibri" w:hAnsi="Arial" w:cs="Arial"/>
          <w:sz w:val="24"/>
          <w:szCs w:val="24"/>
          <w:lang w:eastAsia="en-GB"/>
        </w:rPr>
        <w:t>14.</w:t>
      </w:r>
      <w:r w:rsidR="00D20927">
        <w:rPr>
          <w:rFonts w:ascii="Arial" w:eastAsia="Calibri" w:hAnsi="Arial" w:cs="Arial"/>
          <w:sz w:val="24"/>
          <w:szCs w:val="24"/>
          <w:lang w:eastAsia="en-GB"/>
        </w:rPr>
        <w:t xml:space="preserve">  </w:t>
      </w:r>
    </w:p>
    <w:p w:rsidR="00596A1A" w:rsidRDefault="00596A1A" w:rsidP="006A31AE">
      <w:pPr>
        <w:spacing w:after="200" w:line="276" w:lineRule="auto"/>
        <w:rPr>
          <w:rFonts w:ascii="Arial" w:eastAsia="Calibri" w:hAnsi="Arial" w:cs="Arial"/>
          <w:sz w:val="24"/>
          <w:szCs w:val="24"/>
          <w:lang w:eastAsia="en-GB"/>
        </w:rPr>
      </w:pPr>
    </w:p>
    <w:p w:rsidR="00596A1A" w:rsidRDefault="00596A1A" w:rsidP="006A31AE">
      <w:pPr>
        <w:spacing w:after="200" w:line="276" w:lineRule="auto"/>
        <w:rPr>
          <w:rFonts w:ascii="Arial" w:eastAsia="Calibri" w:hAnsi="Arial" w:cs="Arial"/>
          <w:sz w:val="24"/>
          <w:szCs w:val="24"/>
          <w:lang w:eastAsia="en-GB"/>
        </w:rPr>
      </w:pPr>
    </w:p>
    <w:p w:rsidR="004E0DE3" w:rsidRDefault="00596A1A" w:rsidP="006A31AE">
      <w:pPr>
        <w:spacing w:after="200" w:line="276" w:lineRule="auto"/>
        <w:rPr>
          <w:rFonts w:ascii="Arial" w:eastAsia="Calibri" w:hAnsi="Arial" w:cs="Arial"/>
          <w:sz w:val="24"/>
          <w:szCs w:val="24"/>
          <w:lang w:eastAsia="en-GB"/>
        </w:rPr>
      </w:pPr>
      <w:r>
        <w:rPr>
          <w:rFonts w:ascii="Arial" w:eastAsia="Calibri" w:hAnsi="Arial" w:cs="Arial"/>
          <w:sz w:val="24"/>
          <w:szCs w:val="24"/>
          <w:lang w:eastAsia="en-GB"/>
        </w:rPr>
        <w:t>F</w:t>
      </w:r>
      <w:r w:rsidR="004E0DE3" w:rsidRPr="004E0DE3">
        <w:rPr>
          <w:rFonts w:ascii="Arial" w:eastAsia="Calibri" w:hAnsi="Arial" w:cs="Arial"/>
          <w:sz w:val="24"/>
          <w:szCs w:val="24"/>
          <w:lang w:eastAsia="en-GB"/>
        </w:rPr>
        <w:t>igure 2 shows that the rate of section 47 referrals in Croydon has not only been increasing since 2013/2014 but has increased above the London and England rates for the first time.</w:t>
      </w:r>
      <w:r w:rsidR="004E0DE3">
        <w:rPr>
          <w:rFonts w:ascii="Arial" w:eastAsia="Calibri" w:hAnsi="Arial" w:cs="Arial"/>
          <w:sz w:val="24"/>
          <w:szCs w:val="24"/>
          <w:lang w:eastAsia="en-GB"/>
        </w:rPr>
        <w:t xml:space="preserve">  The latest Croydon rate for 2017/2018 is 169.3 per 10,000 children.</w:t>
      </w:r>
    </w:p>
    <w:p w:rsidR="006A31AE" w:rsidRPr="007C7465" w:rsidRDefault="006A31AE" w:rsidP="006A31AE">
      <w:pPr>
        <w:spacing w:after="200" w:line="276" w:lineRule="auto"/>
        <w:rPr>
          <w:rFonts w:ascii="Arial" w:eastAsia="Calibri" w:hAnsi="Arial" w:cs="Arial"/>
          <w:sz w:val="24"/>
          <w:szCs w:val="24"/>
          <w:u w:val="single"/>
          <w:lang w:eastAsia="en-GB"/>
        </w:rPr>
      </w:pPr>
      <w:r w:rsidRPr="007C7465">
        <w:rPr>
          <w:rFonts w:ascii="Arial" w:eastAsia="Calibri" w:hAnsi="Arial" w:cs="Arial"/>
          <w:sz w:val="24"/>
          <w:szCs w:val="24"/>
          <w:u w:val="single"/>
          <w:lang w:eastAsia="en-GB"/>
        </w:rPr>
        <w:t>Figure 2 – Rate of section 47 enquiries per 10,000 children</w:t>
      </w:r>
    </w:p>
    <w:p w:rsidR="006A31AE" w:rsidRPr="000D5C6C" w:rsidRDefault="007C7465" w:rsidP="000D5C6C">
      <w:pPr>
        <w:spacing w:after="0" w:line="240" w:lineRule="auto"/>
        <w:rPr>
          <w:rFonts w:ascii="Arial" w:eastAsia="Calibri" w:hAnsi="Arial" w:cs="Arial"/>
          <w:noProof/>
          <w:sz w:val="20"/>
          <w:szCs w:val="20"/>
          <w:lang w:eastAsia="en-GB"/>
        </w:rPr>
      </w:pPr>
      <w:r w:rsidRPr="007C7465">
        <w:rPr>
          <w:noProof/>
          <w:lang w:eastAsia="en-GB"/>
        </w:rPr>
        <w:drawing>
          <wp:inline distT="0" distB="0" distL="0" distR="0" wp14:anchorId="1A35D71A" wp14:editId="7954A0D4">
            <wp:extent cx="4206875" cy="2482850"/>
            <wp:effectExtent l="0" t="0" r="3175" b="12700"/>
            <wp:docPr id="13923" name="Chart 139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6A31AE" w:rsidRPr="000D5C6C" w:rsidRDefault="006A31AE" w:rsidP="000D5C6C">
      <w:pPr>
        <w:spacing w:after="0" w:line="240" w:lineRule="auto"/>
        <w:rPr>
          <w:rFonts w:ascii="Arial" w:eastAsia="Calibri" w:hAnsi="Arial" w:cs="Arial"/>
          <w:sz w:val="20"/>
          <w:szCs w:val="20"/>
          <w:lang w:eastAsia="en-GB"/>
        </w:rPr>
      </w:pPr>
      <w:r w:rsidRPr="000D5C6C">
        <w:rPr>
          <w:rFonts w:ascii="Arial" w:eastAsia="Calibri" w:hAnsi="Arial" w:cs="Arial"/>
          <w:sz w:val="20"/>
          <w:szCs w:val="20"/>
          <w:lang w:eastAsia="en-GB"/>
        </w:rPr>
        <w:t>Source: DfE LAIT</w:t>
      </w:r>
    </w:p>
    <w:p w:rsidR="006A31AE" w:rsidRPr="0042008C" w:rsidRDefault="006A31AE" w:rsidP="006A31AE">
      <w:pPr>
        <w:spacing w:after="200" w:line="276" w:lineRule="auto"/>
        <w:rPr>
          <w:rFonts w:ascii="Arial" w:eastAsia="Calibri" w:hAnsi="Arial" w:cs="Arial"/>
          <w:sz w:val="24"/>
          <w:szCs w:val="24"/>
          <w:lang w:eastAsia="en-GB"/>
        </w:rPr>
      </w:pPr>
    </w:p>
    <w:p w:rsidR="006A31AE" w:rsidRPr="0042008C" w:rsidRDefault="006A31AE" w:rsidP="006A31AE">
      <w:pPr>
        <w:spacing w:after="200" w:line="276" w:lineRule="auto"/>
        <w:rPr>
          <w:rFonts w:ascii="Arial" w:eastAsia="Calibri" w:hAnsi="Arial" w:cs="Arial"/>
          <w:sz w:val="24"/>
          <w:szCs w:val="24"/>
          <w:lang w:eastAsia="en-GB"/>
        </w:rPr>
      </w:pPr>
      <w:r w:rsidRPr="0042008C">
        <w:rPr>
          <w:rFonts w:ascii="Arial" w:eastAsia="Calibri" w:hAnsi="Arial" w:cs="Arial"/>
          <w:sz w:val="24"/>
          <w:szCs w:val="24"/>
          <w:lang w:eastAsia="en-GB"/>
        </w:rPr>
        <w:t>The rate of initial child protection conferences for 201</w:t>
      </w:r>
      <w:r w:rsidR="00F97427" w:rsidRPr="0042008C">
        <w:rPr>
          <w:rFonts w:ascii="Arial" w:eastAsia="Calibri" w:hAnsi="Arial" w:cs="Arial"/>
          <w:sz w:val="24"/>
          <w:szCs w:val="24"/>
          <w:lang w:eastAsia="en-GB"/>
        </w:rPr>
        <w:t>7</w:t>
      </w:r>
      <w:r w:rsidRPr="0042008C">
        <w:rPr>
          <w:rFonts w:ascii="Arial" w:eastAsia="Calibri" w:hAnsi="Arial" w:cs="Arial"/>
          <w:sz w:val="24"/>
          <w:szCs w:val="24"/>
          <w:lang w:eastAsia="en-GB"/>
        </w:rPr>
        <w:t>/</w:t>
      </w:r>
      <w:r w:rsidR="00F97427" w:rsidRPr="0042008C">
        <w:rPr>
          <w:rFonts w:ascii="Arial" w:eastAsia="Calibri" w:hAnsi="Arial" w:cs="Arial"/>
          <w:sz w:val="24"/>
          <w:szCs w:val="24"/>
          <w:lang w:eastAsia="en-GB"/>
        </w:rPr>
        <w:t>2018</w:t>
      </w:r>
      <w:r w:rsidRPr="0042008C">
        <w:rPr>
          <w:rFonts w:ascii="Arial" w:eastAsia="Calibri" w:hAnsi="Arial" w:cs="Arial"/>
          <w:sz w:val="24"/>
          <w:szCs w:val="24"/>
          <w:lang w:eastAsia="en-GB"/>
        </w:rPr>
        <w:t xml:space="preserve"> in Croydon has gone up </w:t>
      </w:r>
      <w:r w:rsidR="00F97427" w:rsidRPr="0042008C">
        <w:rPr>
          <w:rFonts w:ascii="Arial" w:eastAsia="Calibri" w:hAnsi="Arial" w:cs="Arial"/>
          <w:sz w:val="24"/>
          <w:szCs w:val="24"/>
          <w:lang w:eastAsia="en-GB"/>
        </w:rPr>
        <w:t>significantly on previous years reaching 90.1 per 10,000 children.  This rate compares with a rate of 59.6 in</w:t>
      </w:r>
      <w:r w:rsidR="0042008C" w:rsidRPr="0042008C">
        <w:rPr>
          <w:rFonts w:ascii="Arial" w:eastAsia="Calibri" w:hAnsi="Arial" w:cs="Arial"/>
          <w:sz w:val="24"/>
          <w:szCs w:val="24"/>
          <w:lang w:eastAsia="en-GB"/>
        </w:rPr>
        <w:t xml:space="preserve"> </w:t>
      </w:r>
      <w:r w:rsidR="00F97427" w:rsidRPr="0042008C">
        <w:rPr>
          <w:rFonts w:ascii="Arial" w:eastAsia="Calibri" w:hAnsi="Arial" w:cs="Arial"/>
          <w:sz w:val="24"/>
          <w:szCs w:val="24"/>
          <w:lang w:eastAsia="en-GB"/>
        </w:rPr>
        <w:t>outer London and a national rate of 67.0 per 10,000 children</w:t>
      </w:r>
      <w:r w:rsidRPr="0042008C">
        <w:rPr>
          <w:rFonts w:ascii="Arial" w:eastAsia="Calibri" w:hAnsi="Arial" w:cs="Arial"/>
          <w:sz w:val="24"/>
          <w:szCs w:val="24"/>
          <w:lang w:eastAsia="en-GB"/>
        </w:rPr>
        <w:t>.</w:t>
      </w:r>
    </w:p>
    <w:p w:rsidR="006A31AE" w:rsidRPr="008C3D5D" w:rsidRDefault="006A31AE" w:rsidP="006A31AE">
      <w:pPr>
        <w:spacing w:after="200" w:line="276" w:lineRule="auto"/>
        <w:rPr>
          <w:rFonts w:ascii="Arial" w:eastAsia="Calibri" w:hAnsi="Arial" w:cs="Arial"/>
          <w:sz w:val="24"/>
          <w:szCs w:val="24"/>
          <w:lang w:eastAsia="en-GB"/>
        </w:rPr>
      </w:pPr>
    </w:p>
    <w:p w:rsidR="006A31AE" w:rsidRPr="00F97427" w:rsidRDefault="006A31AE" w:rsidP="006A31AE">
      <w:pPr>
        <w:spacing w:after="200" w:line="276" w:lineRule="auto"/>
        <w:rPr>
          <w:rFonts w:ascii="Arial" w:eastAsia="Calibri" w:hAnsi="Arial" w:cs="Arial"/>
          <w:sz w:val="24"/>
          <w:szCs w:val="24"/>
          <w:u w:val="single"/>
          <w:lang w:eastAsia="en-GB"/>
        </w:rPr>
      </w:pPr>
      <w:r w:rsidRPr="00F97427">
        <w:rPr>
          <w:rFonts w:ascii="Arial" w:eastAsia="Calibri" w:hAnsi="Arial" w:cs="Arial"/>
          <w:sz w:val="24"/>
          <w:szCs w:val="24"/>
          <w:u w:val="single"/>
          <w:lang w:eastAsia="en-GB"/>
        </w:rPr>
        <w:t>Figure 3 – Rate of initial child protection conferences per 10,000 children</w:t>
      </w:r>
    </w:p>
    <w:p w:rsidR="006A31AE" w:rsidRPr="000D5C6C" w:rsidRDefault="00F97427" w:rsidP="000D5C6C">
      <w:pPr>
        <w:spacing w:after="0" w:line="276" w:lineRule="auto"/>
        <w:rPr>
          <w:rFonts w:ascii="Arial" w:eastAsia="Calibri" w:hAnsi="Arial" w:cs="Arial"/>
          <w:sz w:val="20"/>
          <w:szCs w:val="20"/>
          <w:lang w:eastAsia="en-GB"/>
        </w:rPr>
      </w:pPr>
      <w:r w:rsidRPr="00F97427">
        <w:rPr>
          <w:noProof/>
          <w:lang w:eastAsia="en-GB"/>
        </w:rPr>
        <w:drawing>
          <wp:inline distT="0" distB="0" distL="0" distR="0" wp14:anchorId="1F506B2C" wp14:editId="6DD69EFB">
            <wp:extent cx="4206875" cy="2629535"/>
            <wp:effectExtent l="0" t="0" r="3175" b="18415"/>
            <wp:docPr id="13924" name="Chart 1392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rsidR="006A31AE" w:rsidRPr="000D5C6C" w:rsidRDefault="006A31AE" w:rsidP="000D5C6C">
      <w:pPr>
        <w:spacing w:after="0" w:line="276" w:lineRule="auto"/>
        <w:rPr>
          <w:rFonts w:ascii="Arial" w:eastAsia="Calibri" w:hAnsi="Arial" w:cs="Arial"/>
          <w:sz w:val="20"/>
          <w:szCs w:val="20"/>
          <w:lang w:eastAsia="en-GB"/>
        </w:rPr>
      </w:pPr>
      <w:r w:rsidRPr="000D5C6C">
        <w:rPr>
          <w:rFonts w:ascii="Arial" w:eastAsia="Calibri" w:hAnsi="Arial" w:cs="Arial"/>
          <w:sz w:val="20"/>
          <w:szCs w:val="20"/>
          <w:lang w:eastAsia="en-GB"/>
        </w:rPr>
        <w:t>Source: DfE LAIT</w:t>
      </w:r>
    </w:p>
    <w:p w:rsidR="008C3D5D" w:rsidRDefault="008C3D5D" w:rsidP="006A31AE">
      <w:pPr>
        <w:spacing w:after="200" w:line="276" w:lineRule="auto"/>
        <w:rPr>
          <w:rFonts w:ascii="Arial" w:eastAsia="Calibri" w:hAnsi="Arial" w:cs="Arial"/>
          <w:sz w:val="24"/>
          <w:szCs w:val="24"/>
          <w:lang w:eastAsia="en-GB"/>
        </w:rPr>
      </w:pPr>
    </w:p>
    <w:p w:rsidR="00045B40" w:rsidRDefault="00045B40" w:rsidP="006A31AE">
      <w:pPr>
        <w:spacing w:after="200" w:line="276" w:lineRule="auto"/>
        <w:rPr>
          <w:rFonts w:ascii="Arial" w:eastAsia="Calibri" w:hAnsi="Arial" w:cs="Arial"/>
          <w:sz w:val="24"/>
          <w:szCs w:val="24"/>
          <w:lang w:eastAsia="en-GB"/>
        </w:rPr>
      </w:pPr>
    </w:p>
    <w:p w:rsidR="00045B40" w:rsidRDefault="00045B40" w:rsidP="006A31AE">
      <w:pPr>
        <w:spacing w:after="200" w:line="276" w:lineRule="auto"/>
        <w:rPr>
          <w:rFonts w:ascii="Arial" w:eastAsia="Calibri" w:hAnsi="Arial" w:cs="Arial"/>
          <w:sz w:val="24"/>
          <w:szCs w:val="24"/>
          <w:lang w:eastAsia="en-GB"/>
        </w:rPr>
      </w:pPr>
    </w:p>
    <w:p w:rsidR="006A31AE" w:rsidRPr="008C3D5D" w:rsidRDefault="006A31AE" w:rsidP="006A31AE">
      <w:pPr>
        <w:spacing w:after="200" w:line="276" w:lineRule="auto"/>
        <w:rPr>
          <w:rFonts w:ascii="Arial" w:eastAsia="Calibri" w:hAnsi="Arial" w:cs="Arial"/>
          <w:sz w:val="24"/>
          <w:szCs w:val="24"/>
          <w:lang w:eastAsia="en-GB"/>
        </w:rPr>
      </w:pPr>
      <w:r w:rsidRPr="008C3D5D">
        <w:rPr>
          <w:rFonts w:ascii="Arial" w:eastAsia="Calibri" w:hAnsi="Arial" w:cs="Arial"/>
          <w:sz w:val="24"/>
          <w:szCs w:val="24"/>
          <w:lang w:eastAsia="en-GB"/>
        </w:rPr>
        <w:t xml:space="preserve">The rate of children subject to </w:t>
      </w:r>
      <w:r w:rsidR="008C3D5D">
        <w:rPr>
          <w:rFonts w:ascii="Arial" w:eastAsia="Calibri" w:hAnsi="Arial" w:cs="Arial"/>
          <w:sz w:val="24"/>
          <w:szCs w:val="24"/>
          <w:lang w:eastAsia="en-GB"/>
        </w:rPr>
        <w:t>Child Protection Conferences (</w:t>
      </w:r>
      <w:r w:rsidRPr="008C3D5D">
        <w:rPr>
          <w:rFonts w:ascii="Arial" w:eastAsia="Calibri" w:hAnsi="Arial" w:cs="Arial"/>
          <w:sz w:val="24"/>
          <w:szCs w:val="24"/>
          <w:lang w:eastAsia="en-GB"/>
        </w:rPr>
        <w:t>CPP</w:t>
      </w:r>
      <w:r w:rsidR="008C3D5D">
        <w:rPr>
          <w:rFonts w:ascii="Arial" w:eastAsia="Calibri" w:hAnsi="Arial" w:cs="Arial"/>
          <w:sz w:val="24"/>
          <w:szCs w:val="24"/>
          <w:lang w:eastAsia="en-GB"/>
        </w:rPr>
        <w:t>)</w:t>
      </w:r>
      <w:r w:rsidRPr="008C3D5D">
        <w:rPr>
          <w:rFonts w:ascii="Arial" w:eastAsia="Calibri" w:hAnsi="Arial" w:cs="Arial"/>
          <w:sz w:val="24"/>
          <w:szCs w:val="24"/>
          <w:lang w:eastAsia="en-GB"/>
        </w:rPr>
        <w:t xml:space="preserve"> in Croydon has been increasing steadily in recent years</w:t>
      </w:r>
      <w:r w:rsidR="008C3D5D">
        <w:rPr>
          <w:rFonts w:ascii="Arial" w:eastAsia="Calibri" w:hAnsi="Arial" w:cs="Arial"/>
          <w:sz w:val="24"/>
          <w:szCs w:val="24"/>
          <w:lang w:eastAsia="en-GB"/>
        </w:rPr>
        <w:t>.  However, the latest year of 2017/2018 has seen a marked rise in this rate</w:t>
      </w:r>
      <w:r w:rsidRPr="008C3D5D">
        <w:rPr>
          <w:rFonts w:ascii="Arial" w:eastAsia="Calibri" w:hAnsi="Arial" w:cs="Arial"/>
          <w:sz w:val="24"/>
          <w:szCs w:val="24"/>
          <w:lang w:eastAsia="en-GB"/>
        </w:rPr>
        <w:t xml:space="preserve">, </w:t>
      </w:r>
      <w:r w:rsidR="008C3D5D">
        <w:rPr>
          <w:rFonts w:ascii="Arial" w:eastAsia="Calibri" w:hAnsi="Arial" w:cs="Arial"/>
          <w:sz w:val="24"/>
          <w:szCs w:val="24"/>
          <w:lang w:eastAsia="en-GB"/>
        </w:rPr>
        <w:t>moving from 37.0 in the previous year to 59.6</w:t>
      </w:r>
      <w:r w:rsidRPr="008C3D5D">
        <w:rPr>
          <w:rFonts w:ascii="Arial" w:eastAsia="Calibri" w:hAnsi="Arial" w:cs="Arial"/>
          <w:sz w:val="24"/>
          <w:szCs w:val="24"/>
          <w:lang w:eastAsia="en-GB"/>
        </w:rPr>
        <w:t xml:space="preserve"> per 10,000 in 201</w:t>
      </w:r>
      <w:r w:rsidR="008C3D5D">
        <w:rPr>
          <w:rFonts w:ascii="Arial" w:eastAsia="Calibri" w:hAnsi="Arial" w:cs="Arial"/>
          <w:sz w:val="24"/>
          <w:szCs w:val="24"/>
          <w:lang w:eastAsia="en-GB"/>
        </w:rPr>
        <w:t>7</w:t>
      </w:r>
      <w:r w:rsidRPr="008C3D5D">
        <w:rPr>
          <w:rFonts w:ascii="Arial" w:eastAsia="Calibri" w:hAnsi="Arial" w:cs="Arial"/>
          <w:sz w:val="24"/>
          <w:szCs w:val="24"/>
          <w:lang w:eastAsia="en-GB"/>
        </w:rPr>
        <w:t>/</w:t>
      </w:r>
      <w:r w:rsidR="008C3D5D">
        <w:rPr>
          <w:rFonts w:ascii="Arial" w:eastAsia="Calibri" w:hAnsi="Arial" w:cs="Arial"/>
          <w:sz w:val="24"/>
          <w:szCs w:val="24"/>
          <w:lang w:eastAsia="en-GB"/>
        </w:rPr>
        <w:t>2018</w:t>
      </w:r>
      <w:r w:rsidRPr="008C3D5D">
        <w:rPr>
          <w:rFonts w:ascii="Arial" w:eastAsia="Calibri" w:hAnsi="Arial" w:cs="Arial"/>
          <w:sz w:val="24"/>
          <w:szCs w:val="24"/>
          <w:lang w:eastAsia="en-GB"/>
        </w:rPr>
        <w:t>.</w:t>
      </w:r>
    </w:p>
    <w:p w:rsidR="006A31AE" w:rsidRDefault="006A31AE" w:rsidP="006A31AE">
      <w:pPr>
        <w:spacing w:after="200" w:line="276" w:lineRule="auto"/>
        <w:rPr>
          <w:rFonts w:ascii="Arial" w:eastAsia="Calibri" w:hAnsi="Arial" w:cs="Arial"/>
          <w:sz w:val="24"/>
          <w:szCs w:val="24"/>
          <w:lang w:eastAsia="en-GB"/>
        </w:rPr>
      </w:pPr>
    </w:p>
    <w:p w:rsidR="006A31AE" w:rsidRPr="008C3D5D" w:rsidRDefault="006A31AE" w:rsidP="006A31AE">
      <w:pPr>
        <w:spacing w:after="200" w:line="276" w:lineRule="auto"/>
        <w:rPr>
          <w:rFonts w:ascii="Arial" w:eastAsia="Calibri" w:hAnsi="Arial" w:cs="Arial"/>
          <w:sz w:val="24"/>
          <w:szCs w:val="24"/>
          <w:u w:val="single"/>
          <w:lang w:eastAsia="en-GB"/>
        </w:rPr>
      </w:pPr>
      <w:r w:rsidRPr="008C3D5D">
        <w:rPr>
          <w:rFonts w:ascii="Arial" w:eastAsia="Calibri" w:hAnsi="Arial" w:cs="Arial"/>
          <w:sz w:val="24"/>
          <w:szCs w:val="24"/>
          <w:u w:val="single"/>
          <w:lang w:eastAsia="en-GB"/>
        </w:rPr>
        <w:t>Figure 4 – Rate of children subject to a child protection plan as at 31 March</w:t>
      </w:r>
    </w:p>
    <w:p w:rsidR="00045B40" w:rsidRDefault="00045B40" w:rsidP="002B2612">
      <w:pPr>
        <w:spacing w:after="0" w:line="240" w:lineRule="auto"/>
        <w:rPr>
          <w:rFonts w:ascii="Arial" w:eastAsia="Calibri" w:hAnsi="Arial" w:cs="Arial"/>
          <w:sz w:val="20"/>
          <w:szCs w:val="20"/>
          <w:lang w:eastAsia="en-GB"/>
        </w:rPr>
      </w:pPr>
      <w:r>
        <w:rPr>
          <w:noProof/>
          <w:lang w:eastAsia="en-GB"/>
        </w:rPr>
        <w:drawing>
          <wp:inline distT="0" distB="0" distL="0" distR="0" wp14:anchorId="53214A0B" wp14:editId="3F22607D">
            <wp:extent cx="4287520" cy="2540000"/>
            <wp:effectExtent l="0" t="0" r="17780" b="12700"/>
            <wp:docPr id="13925" name="Chart 1392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6A31AE" w:rsidRPr="00045B40" w:rsidRDefault="006A31AE" w:rsidP="002B2612">
      <w:pPr>
        <w:spacing w:before="120" w:after="0" w:line="240" w:lineRule="auto"/>
        <w:rPr>
          <w:rFonts w:ascii="Arial" w:eastAsia="Calibri" w:hAnsi="Arial" w:cs="Arial"/>
          <w:sz w:val="20"/>
          <w:szCs w:val="20"/>
          <w:lang w:eastAsia="en-GB"/>
        </w:rPr>
      </w:pPr>
      <w:r w:rsidRPr="00045B40">
        <w:rPr>
          <w:rFonts w:ascii="Arial" w:eastAsia="Calibri" w:hAnsi="Arial" w:cs="Arial"/>
          <w:sz w:val="20"/>
          <w:szCs w:val="20"/>
          <w:lang w:eastAsia="en-GB"/>
        </w:rPr>
        <w:t>Source: DfE LAIT</w:t>
      </w:r>
    </w:p>
    <w:p w:rsidR="008C3D5D" w:rsidRDefault="008C3D5D" w:rsidP="002B2612">
      <w:pPr>
        <w:spacing w:after="0" w:line="240" w:lineRule="auto"/>
        <w:rPr>
          <w:rFonts w:ascii="Arial" w:eastAsia="Calibri" w:hAnsi="Arial" w:cs="Arial"/>
          <w:sz w:val="24"/>
          <w:szCs w:val="24"/>
          <w:lang w:eastAsia="en-GB"/>
        </w:rPr>
      </w:pPr>
    </w:p>
    <w:p w:rsidR="00045B40" w:rsidRDefault="00045B40" w:rsidP="002B2612">
      <w:pPr>
        <w:spacing w:after="0" w:line="240" w:lineRule="auto"/>
        <w:rPr>
          <w:rFonts w:ascii="Arial" w:eastAsia="Calibri" w:hAnsi="Arial" w:cs="Arial"/>
          <w:sz w:val="24"/>
          <w:szCs w:val="24"/>
          <w:lang w:eastAsia="en-GB"/>
        </w:rPr>
      </w:pPr>
    </w:p>
    <w:p w:rsidR="00045B40" w:rsidRPr="008C3D5D" w:rsidRDefault="00045B40" w:rsidP="002B2612">
      <w:pPr>
        <w:spacing w:after="0" w:line="240" w:lineRule="auto"/>
        <w:rPr>
          <w:rFonts w:ascii="Arial" w:eastAsia="Calibri" w:hAnsi="Arial" w:cs="Arial"/>
          <w:sz w:val="24"/>
          <w:szCs w:val="24"/>
          <w:lang w:eastAsia="en-GB"/>
        </w:rPr>
      </w:pPr>
    </w:p>
    <w:p w:rsidR="006A31AE" w:rsidRPr="00F273C3" w:rsidRDefault="00F273C3" w:rsidP="006A31AE">
      <w:pPr>
        <w:spacing w:after="200" w:line="276" w:lineRule="auto"/>
        <w:rPr>
          <w:rFonts w:ascii="Arial" w:eastAsia="Calibri" w:hAnsi="Arial" w:cs="Arial"/>
          <w:sz w:val="24"/>
          <w:szCs w:val="24"/>
          <w:lang w:eastAsia="en-GB"/>
        </w:rPr>
      </w:pPr>
      <w:r w:rsidRPr="00F273C3">
        <w:rPr>
          <w:rFonts w:ascii="Arial" w:eastAsia="Calibri" w:hAnsi="Arial" w:cs="Arial"/>
          <w:sz w:val="24"/>
          <w:szCs w:val="24"/>
          <w:lang w:eastAsia="en-GB"/>
        </w:rPr>
        <w:t xml:space="preserve">Nearly one in </w:t>
      </w:r>
      <w:r w:rsidR="005778D6">
        <w:rPr>
          <w:rFonts w:ascii="Arial" w:eastAsia="Calibri" w:hAnsi="Arial" w:cs="Arial"/>
          <w:sz w:val="24"/>
          <w:szCs w:val="24"/>
          <w:lang w:eastAsia="en-GB"/>
        </w:rPr>
        <w:t>7</w:t>
      </w:r>
      <w:r w:rsidRPr="00F273C3">
        <w:rPr>
          <w:rFonts w:ascii="Arial" w:eastAsia="Calibri" w:hAnsi="Arial" w:cs="Arial"/>
          <w:sz w:val="24"/>
          <w:szCs w:val="24"/>
          <w:lang w:eastAsia="en-GB"/>
        </w:rPr>
        <w:t xml:space="preserve"> </w:t>
      </w:r>
      <w:r w:rsidR="005778D6">
        <w:rPr>
          <w:rFonts w:ascii="Arial" w:eastAsia="Calibri" w:hAnsi="Arial" w:cs="Arial"/>
          <w:sz w:val="24"/>
          <w:szCs w:val="24"/>
          <w:lang w:eastAsia="en-GB"/>
        </w:rPr>
        <w:t>(14.4</w:t>
      </w:r>
      <w:r w:rsidRPr="00F273C3">
        <w:rPr>
          <w:rFonts w:ascii="Arial" w:eastAsia="Calibri" w:hAnsi="Arial" w:cs="Arial"/>
          <w:sz w:val="24"/>
          <w:szCs w:val="24"/>
          <w:lang w:eastAsia="en-GB"/>
        </w:rPr>
        <w:t xml:space="preserve">%) </w:t>
      </w:r>
      <w:r w:rsidR="005778D6">
        <w:rPr>
          <w:rFonts w:ascii="Arial" w:eastAsia="Calibri" w:hAnsi="Arial" w:cs="Arial"/>
          <w:sz w:val="24"/>
          <w:szCs w:val="24"/>
          <w:lang w:eastAsia="en-GB"/>
        </w:rPr>
        <w:t xml:space="preserve">of people </w:t>
      </w:r>
      <w:r w:rsidRPr="00F273C3">
        <w:rPr>
          <w:rFonts w:ascii="Arial" w:eastAsia="Calibri" w:hAnsi="Arial" w:cs="Arial"/>
          <w:sz w:val="24"/>
          <w:szCs w:val="24"/>
          <w:lang w:eastAsia="en-GB"/>
        </w:rPr>
        <w:t>who were subject to a child protect</w:t>
      </w:r>
      <w:r w:rsidR="006A31AE" w:rsidRPr="00F273C3">
        <w:rPr>
          <w:rFonts w:ascii="Arial" w:eastAsia="Calibri" w:hAnsi="Arial" w:cs="Arial"/>
          <w:sz w:val="24"/>
          <w:szCs w:val="24"/>
          <w:lang w:eastAsia="en-GB"/>
        </w:rPr>
        <w:t xml:space="preserve">ion plan as at 31 March 2017 had an initial category of abuse of neglect as can be seen from Figure 5. Multiple abuse which included Physical and Sexual abuse accounted for </w:t>
      </w:r>
      <w:r w:rsidR="00BB4805">
        <w:rPr>
          <w:rFonts w:ascii="Arial" w:eastAsia="Calibri" w:hAnsi="Arial" w:cs="Arial"/>
          <w:sz w:val="24"/>
          <w:szCs w:val="24"/>
          <w:lang w:eastAsia="en-GB"/>
        </w:rPr>
        <w:t>4</w:t>
      </w:r>
      <w:r w:rsidRPr="00F273C3">
        <w:rPr>
          <w:rFonts w:ascii="Arial" w:eastAsia="Calibri" w:hAnsi="Arial" w:cs="Arial"/>
          <w:sz w:val="24"/>
          <w:szCs w:val="24"/>
          <w:lang w:eastAsia="en-GB"/>
        </w:rPr>
        <w:t>1.</w:t>
      </w:r>
      <w:r w:rsidR="00BB4805">
        <w:rPr>
          <w:rFonts w:ascii="Arial" w:eastAsia="Calibri" w:hAnsi="Arial" w:cs="Arial"/>
          <w:sz w:val="24"/>
          <w:szCs w:val="24"/>
          <w:lang w:eastAsia="en-GB"/>
        </w:rPr>
        <w:t>3</w:t>
      </w:r>
      <w:r w:rsidR="006A31AE" w:rsidRPr="00F273C3">
        <w:rPr>
          <w:rFonts w:ascii="Arial" w:eastAsia="Calibri" w:hAnsi="Arial" w:cs="Arial"/>
          <w:sz w:val="24"/>
          <w:szCs w:val="24"/>
          <w:lang w:eastAsia="en-GB"/>
        </w:rPr>
        <w:t xml:space="preserve">% of all abuse categories in Croydon.  </w:t>
      </w:r>
      <w:r w:rsidR="00BB4805">
        <w:rPr>
          <w:rFonts w:ascii="Arial" w:eastAsia="Calibri" w:hAnsi="Arial" w:cs="Arial"/>
          <w:sz w:val="24"/>
          <w:szCs w:val="24"/>
          <w:lang w:eastAsia="en-GB"/>
        </w:rPr>
        <w:t xml:space="preserve">Just over a quarter (25.9%) </w:t>
      </w:r>
      <w:r w:rsidRPr="00F273C3">
        <w:rPr>
          <w:rFonts w:ascii="Arial" w:eastAsia="Calibri" w:hAnsi="Arial" w:cs="Arial"/>
          <w:sz w:val="24"/>
          <w:szCs w:val="24"/>
          <w:lang w:eastAsia="en-GB"/>
        </w:rPr>
        <w:t>of all the abuse recorded was Emotion</w:t>
      </w:r>
      <w:r w:rsidR="006A31AE" w:rsidRPr="00F273C3">
        <w:rPr>
          <w:rFonts w:ascii="Arial" w:eastAsia="Calibri" w:hAnsi="Arial" w:cs="Arial"/>
          <w:sz w:val="24"/>
          <w:szCs w:val="24"/>
          <w:lang w:eastAsia="en-GB"/>
        </w:rPr>
        <w:t>al abuse.</w:t>
      </w:r>
    </w:p>
    <w:p w:rsidR="00596A1A" w:rsidRDefault="00596A1A" w:rsidP="006A31AE">
      <w:pPr>
        <w:spacing w:after="200" w:line="276" w:lineRule="auto"/>
        <w:rPr>
          <w:rFonts w:ascii="Arial" w:eastAsia="Calibri" w:hAnsi="Arial" w:cs="Arial"/>
          <w:sz w:val="24"/>
          <w:szCs w:val="24"/>
          <w:u w:val="single"/>
          <w:lang w:eastAsia="en-GB"/>
        </w:rPr>
      </w:pPr>
    </w:p>
    <w:p w:rsidR="006A31AE" w:rsidRDefault="006A31AE" w:rsidP="006A31AE">
      <w:pPr>
        <w:spacing w:after="200" w:line="276" w:lineRule="auto"/>
        <w:rPr>
          <w:rFonts w:ascii="Arial" w:eastAsia="Calibri" w:hAnsi="Arial" w:cs="Arial"/>
          <w:sz w:val="24"/>
          <w:szCs w:val="24"/>
          <w:u w:val="single"/>
          <w:lang w:eastAsia="en-GB"/>
        </w:rPr>
      </w:pPr>
      <w:r w:rsidRPr="0021220A">
        <w:rPr>
          <w:rFonts w:ascii="Arial" w:eastAsia="Calibri" w:hAnsi="Arial" w:cs="Arial"/>
          <w:sz w:val="24"/>
          <w:szCs w:val="24"/>
          <w:u w:val="single"/>
          <w:lang w:eastAsia="en-GB"/>
        </w:rPr>
        <w:t>Figure 5 – Initial category of abuse for children subject to a child protection plan as at 31 March 201</w:t>
      </w:r>
      <w:r w:rsidR="0021220A" w:rsidRPr="0021220A">
        <w:rPr>
          <w:rFonts w:ascii="Arial" w:eastAsia="Calibri" w:hAnsi="Arial" w:cs="Arial"/>
          <w:sz w:val="24"/>
          <w:szCs w:val="24"/>
          <w:u w:val="single"/>
          <w:lang w:eastAsia="en-GB"/>
        </w:rPr>
        <w:t>7</w:t>
      </w:r>
    </w:p>
    <w:p w:rsidR="00F273C3" w:rsidRDefault="005778D6" w:rsidP="000D5C6C">
      <w:pPr>
        <w:spacing w:after="0" w:line="240" w:lineRule="auto"/>
        <w:rPr>
          <w:noProof/>
          <w:lang w:eastAsia="en-GB"/>
        </w:rPr>
      </w:pPr>
      <w:r>
        <w:rPr>
          <w:noProof/>
          <w:lang w:eastAsia="en-GB"/>
        </w:rPr>
        <w:drawing>
          <wp:inline distT="0" distB="0" distL="0" distR="0" wp14:anchorId="524843E1" wp14:editId="23ED343E">
            <wp:extent cx="4185920" cy="2844800"/>
            <wp:effectExtent l="0" t="0" r="5080" b="12700"/>
            <wp:docPr id="13946" name="Chart 139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r>
        <w:rPr>
          <w:noProof/>
          <w:lang w:eastAsia="en-GB"/>
        </w:rPr>
        <w:t xml:space="preserve"> </w:t>
      </w:r>
    </w:p>
    <w:p w:rsidR="006A31AE" w:rsidRPr="0021220A" w:rsidRDefault="005778D6" w:rsidP="00630FF7">
      <w:pPr>
        <w:spacing w:before="120" w:after="0" w:line="240" w:lineRule="auto"/>
        <w:rPr>
          <w:rFonts w:ascii="Arial" w:eastAsia="Calibri" w:hAnsi="Arial" w:cs="Arial"/>
          <w:sz w:val="20"/>
          <w:szCs w:val="20"/>
          <w:lang w:eastAsia="en-GB"/>
        </w:rPr>
      </w:pPr>
      <w:r>
        <w:rPr>
          <w:rFonts w:ascii="Arial" w:eastAsia="Calibri" w:hAnsi="Arial" w:cs="Arial"/>
          <w:sz w:val="20"/>
          <w:szCs w:val="20"/>
          <w:lang w:eastAsia="en-GB"/>
        </w:rPr>
        <w:t>S</w:t>
      </w:r>
      <w:r w:rsidR="0021220A">
        <w:rPr>
          <w:rFonts w:ascii="Arial" w:eastAsia="Calibri" w:hAnsi="Arial" w:cs="Arial"/>
          <w:sz w:val="20"/>
          <w:szCs w:val="20"/>
          <w:lang w:eastAsia="en-GB"/>
        </w:rPr>
        <w:t>ource: SFR61/2017, Table D2.</w:t>
      </w:r>
    </w:p>
    <w:p w:rsidR="006A31AE" w:rsidRPr="00142100" w:rsidRDefault="006A31AE" w:rsidP="006A31AE">
      <w:pPr>
        <w:spacing w:after="0" w:line="240" w:lineRule="auto"/>
        <w:outlineLvl w:val="0"/>
        <w:rPr>
          <w:rFonts w:ascii="Arial" w:eastAsia="Times New Roman" w:hAnsi="Arial" w:cs="Arial"/>
          <w:b/>
          <w:bCs/>
          <w:sz w:val="28"/>
          <w:szCs w:val="24"/>
          <w:lang w:eastAsia="en-GB"/>
        </w:rPr>
      </w:pPr>
      <w:bookmarkStart w:id="25" w:name="_Looked_After_Children"/>
      <w:bookmarkEnd w:id="25"/>
    </w:p>
    <w:p w:rsidR="006A31AE" w:rsidRPr="00142100" w:rsidRDefault="006A31AE" w:rsidP="006A31AE">
      <w:pPr>
        <w:spacing w:after="0" w:line="240" w:lineRule="auto"/>
        <w:outlineLvl w:val="0"/>
        <w:rPr>
          <w:rFonts w:ascii="Arial" w:eastAsia="Times New Roman" w:hAnsi="Arial" w:cs="Arial"/>
          <w:b/>
          <w:bCs/>
          <w:sz w:val="28"/>
          <w:szCs w:val="24"/>
          <w:lang w:eastAsia="en-GB"/>
        </w:rPr>
      </w:pPr>
    </w:p>
    <w:p w:rsidR="006A31AE" w:rsidRPr="00142100" w:rsidRDefault="006A31AE" w:rsidP="006A31AE">
      <w:pPr>
        <w:spacing w:after="0" w:line="240" w:lineRule="auto"/>
        <w:outlineLvl w:val="0"/>
        <w:rPr>
          <w:rFonts w:ascii="Arial" w:eastAsia="Times New Roman" w:hAnsi="Arial" w:cs="Arial"/>
          <w:b/>
          <w:bCs/>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Looked After Children</w:t>
      </w: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76" w:lineRule="auto"/>
        <w:rPr>
          <w:rFonts w:ascii="Arial" w:eastAsia="Calibri" w:hAnsi="Arial" w:cs="Arial"/>
          <w:sz w:val="24"/>
          <w:szCs w:val="24"/>
        </w:rPr>
      </w:pPr>
      <w:r w:rsidRPr="006A31AE">
        <w:rPr>
          <w:rFonts w:ascii="Arial" w:eastAsia="Calibri" w:hAnsi="Arial" w:cs="Arial"/>
          <w:sz w:val="24"/>
          <w:szCs w:val="24"/>
        </w:rPr>
        <w:t>Croydon has the highest number of looked after children of any London borough as shown by Figure 6. This is due to the high numbers of unaccompanied asylum seeking children (UASC) looked after by the borough.</w:t>
      </w:r>
    </w:p>
    <w:p w:rsidR="006A31AE" w:rsidRDefault="006A31AE" w:rsidP="006A31AE">
      <w:pPr>
        <w:spacing w:after="0" w:line="276" w:lineRule="auto"/>
        <w:rPr>
          <w:rFonts w:ascii="Arial" w:eastAsia="Calibri" w:hAnsi="Arial" w:cs="Arial"/>
          <w:sz w:val="24"/>
          <w:szCs w:val="24"/>
        </w:rPr>
      </w:pPr>
    </w:p>
    <w:p w:rsidR="006A31AE" w:rsidRPr="00F756CA" w:rsidRDefault="006A31AE" w:rsidP="006A31AE">
      <w:pPr>
        <w:spacing w:after="0" w:line="276" w:lineRule="auto"/>
        <w:ind w:right="-463"/>
        <w:rPr>
          <w:rFonts w:ascii="Arial" w:eastAsia="Calibri" w:hAnsi="Arial" w:cs="Arial"/>
          <w:sz w:val="24"/>
          <w:szCs w:val="24"/>
          <w:u w:val="single"/>
        </w:rPr>
      </w:pPr>
      <w:r w:rsidRPr="00F756CA">
        <w:rPr>
          <w:rFonts w:ascii="Arial" w:eastAsia="Calibri" w:hAnsi="Arial" w:cs="Arial"/>
          <w:sz w:val="24"/>
          <w:szCs w:val="24"/>
          <w:u w:val="single"/>
        </w:rPr>
        <w:t>Figure 6 – Number of Looked After Children in London boroughs as at 31 March 2017</w:t>
      </w:r>
    </w:p>
    <w:p w:rsidR="006A31AE" w:rsidRPr="00EF7954" w:rsidRDefault="006A31AE" w:rsidP="006A31AE">
      <w:pPr>
        <w:spacing w:after="0" w:line="276" w:lineRule="auto"/>
        <w:rPr>
          <w:rFonts w:ascii="Arial" w:eastAsia="Calibri" w:hAnsi="Arial" w:cs="Arial"/>
          <w:sz w:val="24"/>
          <w:szCs w:val="24"/>
        </w:rPr>
      </w:pPr>
      <w:r w:rsidRPr="006A31AE">
        <w:rPr>
          <w:rFonts w:ascii="Arial" w:eastAsia="Calibri" w:hAnsi="Arial" w:cs="Arial"/>
          <w:noProof/>
          <w:sz w:val="24"/>
          <w:szCs w:val="24"/>
          <w:lang w:eastAsia="en-GB"/>
        </w:rPr>
        <w:drawing>
          <wp:inline distT="0" distB="0" distL="0" distR="0" wp14:anchorId="0705FE14" wp14:editId="0BF0F6CC">
            <wp:extent cx="4206875" cy="2905760"/>
            <wp:effectExtent l="0" t="0" r="3175" b="8890"/>
            <wp:docPr id="114" name="Chart 1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6A31AE" w:rsidRPr="00EF7954" w:rsidRDefault="006A31AE" w:rsidP="006A31AE">
      <w:pPr>
        <w:spacing w:after="200" w:line="276" w:lineRule="auto"/>
        <w:rPr>
          <w:rFonts w:ascii="Arial" w:eastAsia="Calibri" w:hAnsi="Arial" w:cs="Arial"/>
          <w:sz w:val="20"/>
          <w:szCs w:val="20"/>
        </w:rPr>
      </w:pPr>
      <w:r w:rsidRPr="00EF7954">
        <w:rPr>
          <w:rFonts w:ascii="Arial" w:eastAsia="Calibri" w:hAnsi="Arial" w:cs="Arial"/>
          <w:sz w:val="20"/>
          <w:szCs w:val="20"/>
        </w:rPr>
        <w:t>Source: DfE LAIT, data released October 2018.</w:t>
      </w:r>
    </w:p>
    <w:p w:rsidR="006A31AE" w:rsidRPr="005D0B91" w:rsidRDefault="006A31AE" w:rsidP="006A31AE">
      <w:pPr>
        <w:spacing w:after="200" w:line="276" w:lineRule="auto"/>
        <w:rPr>
          <w:rFonts w:ascii="Arial" w:eastAsia="Calibri" w:hAnsi="Arial" w:cs="Arial"/>
          <w:sz w:val="20"/>
          <w:szCs w:val="20"/>
        </w:rPr>
      </w:pPr>
      <w:r w:rsidRPr="005D0B91">
        <w:rPr>
          <w:rFonts w:ascii="Arial" w:eastAsia="Calibri" w:hAnsi="Arial" w:cs="Arial"/>
          <w:sz w:val="20"/>
          <w:szCs w:val="20"/>
        </w:rPr>
        <w:t>(Note: All numbers rounded to the nearest 5)</w:t>
      </w:r>
    </w:p>
    <w:p w:rsidR="00E874F1" w:rsidRDefault="00E874F1" w:rsidP="006A31AE">
      <w:pPr>
        <w:spacing w:after="200" w:line="276" w:lineRule="auto"/>
        <w:rPr>
          <w:rFonts w:ascii="Arial" w:eastAsia="Calibri" w:hAnsi="Arial" w:cs="Arial"/>
          <w:sz w:val="24"/>
          <w:szCs w:val="24"/>
        </w:rPr>
      </w:pPr>
    </w:p>
    <w:p w:rsidR="00E0459A" w:rsidRDefault="006A31AE" w:rsidP="006A31AE">
      <w:pPr>
        <w:spacing w:after="200" w:line="276" w:lineRule="auto"/>
        <w:rPr>
          <w:rFonts w:ascii="Arial" w:eastAsia="Calibri" w:hAnsi="Arial" w:cs="Arial"/>
          <w:sz w:val="24"/>
          <w:szCs w:val="24"/>
        </w:rPr>
      </w:pPr>
      <w:r w:rsidRPr="00EF7954">
        <w:rPr>
          <w:rFonts w:ascii="Arial" w:eastAsia="Calibri" w:hAnsi="Arial" w:cs="Arial"/>
          <w:sz w:val="24"/>
          <w:szCs w:val="24"/>
        </w:rPr>
        <w:t xml:space="preserve">The number of UASC looked after in Croydon fluctuates over time and is influenced by international events. </w:t>
      </w:r>
      <w:r w:rsidR="00E0459A">
        <w:rPr>
          <w:rFonts w:ascii="Arial" w:eastAsia="Calibri" w:hAnsi="Arial" w:cs="Arial"/>
          <w:sz w:val="24"/>
          <w:szCs w:val="24"/>
        </w:rPr>
        <w:t>Figure 7 shows that f</w:t>
      </w:r>
      <w:r w:rsidRPr="00EF7954">
        <w:rPr>
          <w:rFonts w:ascii="Arial" w:eastAsia="Calibri" w:hAnsi="Arial" w:cs="Arial"/>
          <w:sz w:val="24"/>
          <w:szCs w:val="24"/>
        </w:rPr>
        <w:t>or 2 years in 2014/</w:t>
      </w:r>
      <w:r w:rsidR="00EF7954">
        <w:rPr>
          <w:rFonts w:ascii="Arial" w:eastAsia="Calibri" w:hAnsi="Arial" w:cs="Arial"/>
          <w:sz w:val="24"/>
          <w:szCs w:val="24"/>
        </w:rPr>
        <w:t>20</w:t>
      </w:r>
      <w:r w:rsidRPr="00EF7954">
        <w:rPr>
          <w:rFonts w:ascii="Arial" w:eastAsia="Calibri" w:hAnsi="Arial" w:cs="Arial"/>
          <w:sz w:val="24"/>
          <w:szCs w:val="24"/>
        </w:rPr>
        <w:t>15 and in 2015/</w:t>
      </w:r>
      <w:r w:rsidR="00EF7954">
        <w:rPr>
          <w:rFonts w:ascii="Arial" w:eastAsia="Calibri" w:hAnsi="Arial" w:cs="Arial"/>
          <w:sz w:val="24"/>
          <w:szCs w:val="24"/>
        </w:rPr>
        <w:t>20</w:t>
      </w:r>
      <w:r w:rsidRPr="00EF7954">
        <w:rPr>
          <w:rFonts w:ascii="Arial" w:eastAsia="Calibri" w:hAnsi="Arial" w:cs="Arial"/>
          <w:sz w:val="24"/>
          <w:szCs w:val="24"/>
        </w:rPr>
        <w:t>16 there were more UASC being looked after in Croydon than children indigenous to the borough</w:t>
      </w:r>
      <w:r w:rsidR="00E0459A">
        <w:rPr>
          <w:rFonts w:ascii="Arial" w:eastAsia="Calibri" w:hAnsi="Arial" w:cs="Arial"/>
          <w:sz w:val="24"/>
          <w:szCs w:val="24"/>
        </w:rPr>
        <w:t>.</w:t>
      </w:r>
    </w:p>
    <w:p w:rsidR="00596A1A" w:rsidRDefault="00596A1A" w:rsidP="006A31AE">
      <w:pPr>
        <w:spacing w:after="200" w:line="276" w:lineRule="auto"/>
        <w:rPr>
          <w:rFonts w:ascii="Arial" w:eastAsia="Calibri" w:hAnsi="Arial" w:cs="Arial"/>
          <w:sz w:val="24"/>
          <w:szCs w:val="24"/>
        </w:rPr>
      </w:pPr>
    </w:p>
    <w:p w:rsidR="00596A1A" w:rsidRDefault="00596A1A" w:rsidP="006A31AE">
      <w:pPr>
        <w:spacing w:after="200" w:line="276" w:lineRule="auto"/>
        <w:rPr>
          <w:rFonts w:ascii="Arial" w:eastAsia="Calibri" w:hAnsi="Arial" w:cs="Arial"/>
          <w:sz w:val="24"/>
          <w:szCs w:val="24"/>
        </w:rPr>
      </w:pPr>
    </w:p>
    <w:p w:rsidR="00630FF7" w:rsidRDefault="00E0459A" w:rsidP="006A31AE">
      <w:pPr>
        <w:spacing w:after="200" w:line="276" w:lineRule="auto"/>
        <w:rPr>
          <w:rFonts w:ascii="Arial" w:eastAsia="Calibri" w:hAnsi="Arial" w:cs="Arial"/>
          <w:sz w:val="24"/>
          <w:szCs w:val="24"/>
        </w:rPr>
      </w:pPr>
      <w:r>
        <w:rPr>
          <w:rFonts w:ascii="Arial" w:eastAsia="Calibri" w:hAnsi="Arial" w:cs="Arial"/>
          <w:sz w:val="24"/>
          <w:szCs w:val="24"/>
        </w:rPr>
        <w:t>The latest fig</w:t>
      </w:r>
      <w:r w:rsidR="00EF7954">
        <w:rPr>
          <w:rFonts w:ascii="Arial" w:eastAsia="Calibri" w:hAnsi="Arial" w:cs="Arial"/>
          <w:sz w:val="24"/>
          <w:szCs w:val="24"/>
        </w:rPr>
        <w:t>ures for 201</w:t>
      </w:r>
      <w:r w:rsidR="00630FF7">
        <w:rPr>
          <w:rFonts w:ascii="Arial" w:eastAsia="Calibri" w:hAnsi="Arial" w:cs="Arial"/>
          <w:sz w:val="24"/>
          <w:szCs w:val="24"/>
        </w:rPr>
        <w:t>7</w:t>
      </w:r>
      <w:r w:rsidR="00EF7954">
        <w:rPr>
          <w:rFonts w:ascii="Arial" w:eastAsia="Calibri" w:hAnsi="Arial" w:cs="Arial"/>
          <w:sz w:val="24"/>
          <w:szCs w:val="24"/>
        </w:rPr>
        <w:t>/201</w:t>
      </w:r>
      <w:r w:rsidR="00630FF7">
        <w:rPr>
          <w:rFonts w:ascii="Arial" w:eastAsia="Calibri" w:hAnsi="Arial" w:cs="Arial"/>
          <w:sz w:val="24"/>
          <w:szCs w:val="24"/>
        </w:rPr>
        <w:t>8</w:t>
      </w:r>
      <w:r w:rsidR="00EF7954">
        <w:rPr>
          <w:rFonts w:ascii="Arial" w:eastAsia="Calibri" w:hAnsi="Arial" w:cs="Arial"/>
          <w:sz w:val="24"/>
          <w:szCs w:val="24"/>
        </w:rPr>
        <w:t xml:space="preserve"> shows that the</w:t>
      </w:r>
      <w:r w:rsidR="00630FF7">
        <w:rPr>
          <w:rFonts w:ascii="Arial" w:eastAsia="Calibri" w:hAnsi="Arial" w:cs="Arial"/>
          <w:sz w:val="24"/>
          <w:szCs w:val="24"/>
        </w:rPr>
        <w:t xml:space="preserve"> number of</w:t>
      </w:r>
      <w:r w:rsidR="00EF7954">
        <w:rPr>
          <w:rFonts w:ascii="Arial" w:eastAsia="Calibri" w:hAnsi="Arial" w:cs="Arial"/>
          <w:sz w:val="24"/>
          <w:szCs w:val="24"/>
        </w:rPr>
        <w:t xml:space="preserve"> indigenous looked after children </w:t>
      </w:r>
      <w:r w:rsidR="00630FF7">
        <w:rPr>
          <w:rFonts w:ascii="Arial" w:eastAsia="Calibri" w:hAnsi="Arial" w:cs="Arial"/>
          <w:sz w:val="24"/>
          <w:szCs w:val="24"/>
        </w:rPr>
        <w:t>ha</w:t>
      </w:r>
      <w:r w:rsidR="00EF7954">
        <w:rPr>
          <w:rFonts w:ascii="Arial" w:eastAsia="Calibri" w:hAnsi="Arial" w:cs="Arial"/>
          <w:sz w:val="24"/>
          <w:szCs w:val="24"/>
        </w:rPr>
        <w:t>s</w:t>
      </w:r>
      <w:r>
        <w:rPr>
          <w:rFonts w:ascii="Arial" w:eastAsia="Calibri" w:hAnsi="Arial" w:cs="Arial"/>
          <w:sz w:val="24"/>
          <w:szCs w:val="24"/>
        </w:rPr>
        <w:t xml:space="preserve"> </w:t>
      </w:r>
      <w:r w:rsidR="00630FF7">
        <w:rPr>
          <w:rFonts w:ascii="Arial" w:eastAsia="Calibri" w:hAnsi="Arial" w:cs="Arial"/>
          <w:sz w:val="24"/>
          <w:szCs w:val="24"/>
        </w:rPr>
        <w:t>now increased to 488 which is much higher than the number of UASC LAC and in fact the biggest difference between the 2 cohorts for 5 years.</w:t>
      </w:r>
    </w:p>
    <w:p w:rsidR="006A31AE" w:rsidRPr="00EF7954" w:rsidRDefault="006A31AE" w:rsidP="006A31AE">
      <w:pPr>
        <w:spacing w:after="0" w:line="276" w:lineRule="auto"/>
        <w:rPr>
          <w:rFonts w:ascii="Arial" w:eastAsia="Calibri" w:hAnsi="Arial" w:cs="Arial"/>
          <w:sz w:val="24"/>
          <w:szCs w:val="24"/>
        </w:rPr>
      </w:pPr>
    </w:p>
    <w:p w:rsidR="006A31AE" w:rsidRDefault="006A31AE" w:rsidP="006A31AE">
      <w:pPr>
        <w:spacing w:after="0" w:line="276" w:lineRule="auto"/>
        <w:rPr>
          <w:rFonts w:ascii="Arial" w:eastAsia="Calibri" w:hAnsi="Arial" w:cs="Arial"/>
          <w:sz w:val="24"/>
          <w:szCs w:val="24"/>
          <w:u w:val="single"/>
        </w:rPr>
      </w:pPr>
      <w:r w:rsidRPr="005778D6">
        <w:rPr>
          <w:rFonts w:ascii="Arial" w:eastAsia="Calibri" w:hAnsi="Arial" w:cs="Arial"/>
          <w:sz w:val="24"/>
          <w:szCs w:val="24"/>
          <w:u w:val="single"/>
        </w:rPr>
        <w:t>Figure 7 – Number of indigenous and UASC LAC for Croydon (201</w:t>
      </w:r>
      <w:r w:rsidR="00F82D2F">
        <w:rPr>
          <w:rFonts w:ascii="Arial" w:eastAsia="Calibri" w:hAnsi="Arial" w:cs="Arial"/>
          <w:sz w:val="24"/>
          <w:szCs w:val="24"/>
          <w:u w:val="single"/>
        </w:rPr>
        <w:t xml:space="preserve">3/2014 – </w:t>
      </w:r>
      <w:r w:rsidR="005778D6" w:rsidRPr="005778D6">
        <w:rPr>
          <w:rFonts w:ascii="Arial" w:eastAsia="Calibri" w:hAnsi="Arial" w:cs="Arial"/>
          <w:sz w:val="24"/>
          <w:szCs w:val="24"/>
          <w:u w:val="single"/>
        </w:rPr>
        <w:t>201</w:t>
      </w:r>
      <w:r w:rsidR="00F82D2F">
        <w:rPr>
          <w:rFonts w:ascii="Arial" w:eastAsia="Calibri" w:hAnsi="Arial" w:cs="Arial"/>
          <w:sz w:val="24"/>
          <w:szCs w:val="24"/>
          <w:u w:val="single"/>
        </w:rPr>
        <w:t>7/2018</w:t>
      </w:r>
      <w:r w:rsidRPr="005778D6">
        <w:rPr>
          <w:rFonts w:ascii="Arial" w:eastAsia="Calibri" w:hAnsi="Arial" w:cs="Arial"/>
          <w:sz w:val="24"/>
          <w:szCs w:val="24"/>
          <w:u w:val="single"/>
        </w:rPr>
        <w:t>)</w:t>
      </w:r>
    </w:p>
    <w:p w:rsidR="00630FF7" w:rsidRDefault="00630FF7" w:rsidP="006A31AE">
      <w:pPr>
        <w:spacing w:after="0" w:line="276" w:lineRule="auto"/>
        <w:rPr>
          <w:rFonts w:ascii="Arial" w:eastAsia="Calibri" w:hAnsi="Arial" w:cs="Arial"/>
          <w:sz w:val="24"/>
          <w:szCs w:val="24"/>
          <w:u w:val="single"/>
        </w:rPr>
      </w:pPr>
      <w:r>
        <w:rPr>
          <w:noProof/>
          <w:lang w:eastAsia="en-GB"/>
        </w:rPr>
        <w:drawing>
          <wp:inline distT="0" distB="0" distL="0" distR="0" wp14:anchorId="5251E3F9" wp14:editId="1E7E7ADD">
            <wp:extent cx="4206875" cy="2493010"/>
            <wp:effectExtent l="0" t="0" r="3175" b="2540"/>
            <wp:docPr id="13927" name="Chart 139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9"/>
              </a:graphicData>
            </a:graphic>
          </wp:inline>
        </w:drawing>
      </w:r>
    </w:p>
    <w:p w:rsidR="00E0459A" w:rsidRPr="00E0459A" w:rsidRDefault="00E0459A" w:rsidP="00E0459A">
      <w:pPr>
        <w:spacing w:after="0" w:line="240" w:lineRule="auto"/>
        <w:rPr>
          <w:rFonts w:ascii="Arial" w:eastAsia="Times New Roman" w:hAnsi="Arial" w:cs="Arial"/>
          <w:color w:val="000000"/>
          <w:lang w:eastAsia="en-GB"/>
        </w:rPr>
      </w:pPr>
      <w:r w:rsidRPr="00E0459A">
        <w:rPr>
          <w:rFonts w:ascii="Arial" w:eastAsia="Times New Roman" w:hAnsi="Arial" w:cs="Arial"/>
          <w:color w:val="000000"/>
          <w:lang w:eastAsia="en-GB"/>
        </w:rPr>
        <w:t xml:space="preserve">Source: </w:t>
      </w:r>
      <w:r w:rsidR="00630FF7">
        <w:rPr>
          <w:rFonts w:ascii="Arial" w:eastAsia="Times New Roman" w:hAnsi="Arial" w:cs="Arial"/>
          <w:color w:val="000000"/>
          <w:lang w:eastAsia="en-GB"/>
        </w:rPr>
        <w:t>SSDA903, Tables LAA1 &amp; LAA4</w:t>
      </w:r>
    </w:p>
    <w:p w:rsidR="0036180E" w:rsidRDefault="0036180E" w:rsidP="006A31AE">
      <w:pPr>
        <w:spacing w:after="200" w:line="276" w:lineRule="auto"/>
        <w:rPr>
          <w:rFonts w:ascii="Arial" w:eastAsia="Calibri" w:hAnsi="Arial" w:cs="Arial"/>
          <w:sz w:val="24"/>
          <w:szCs w:val="20"/>
        </w:rPr>
      </w:pPr>
    </w:p>
    <w:p w:rsidR="00596A1A" w:rsidRDefault="006A31AE" w:rsidP="006A31AE">
      <w:pPr>
        <w:spacing w:after="200" w:line="276" w:lineRule="auto"/>
        <w:rPr>
          <w:rFonts w:ascii="Arial" w:eastAsia="Calibri" w:hAnsi="Arial" w:cs="Arial"/>
          <w:sz w:val="24"/>
          <w:szCs w:val="20"/>
        </w:rPr>
      </w:pPr>
      <w:r w:rsidRPr="00E0459A">
        <w:rPr>
          <w:rFonts w:ascii="Arial" w:eastAsia="Calibri" w:hAnsi="Arial" w:cs="Arial"/>
          <w:sz w:val="24"/>
          <w:szCs w:val="20"/>
        </w:rPr>
        <w:t xml:space="preserve">The UASC </w:t>
      </w:r>
      <w:r w:rsidR="00E0459A">
        <w:rPr>
          <w:rFonts w:ascii="Arial" w:eastAsia="Calibri" w:hAnsi="Arial" w:cs="Arial"/>
          <w:sz w:val="24"/>
          <w:szCs w:val="20"/>
        </w:rPr>
        <w:t xml:space="preserve">cohort </w:t>
      </w:r>
      <w:r w:rsidRPr="00E0459A">
        <w:rPr>
          <w:rFonts w:ascii="Arial" w:eastAsia="Calibri" w:hAnsi="Arial" w:cs="Arial"/>
          <w:sz w:val="24"/>
          <w:szCs w:val="20"/>
        </w:rPr>
        <w:t>distorts the demographics of Croydon’s looked after children population. The national published figures for looked after chil</w:t>
      </w:r>
      <w:r w:rsidR="00E874F1">
        <w:rPr>
          <w:rFonts w:ascii="Arial" w:eastAsia="Calibri" w:hAnsi="Arial" w:cs="Arial"/>
          <w:sz w:val="24"/>
          <w:szCs w:val="20"/>
        </w:rPr>
        <w:t xml:space="preserve">dren do not distinguish between </w:t>
      </w:r>
    </w:p>
    <w:p w:rsidR="00596A1A" w:rsidRDefault="00596A1A" w:rsidP="006A31AE">
      <w:pPr>
        <w:spacing w:after="200" w:line="276" w:lineRule="auto"/>
        <w:rPr>
          <w:rFonts w:ascii="Arial" w:eastAsia="Calibri" w:hAnsi="Arial" w:cs="Arial"/>
          <w:sz w:val="24"/>
          <w:szCs w:val="20"/>
        </w:rPr>
      </w:pPr>
    </w:p>
    <w:p w:rsidR="00596A1A" w:rsidRDefault="00596A1A" w:rsidP="006A31AE">
      <w:pPr>
        <w:spacing w:after="200" w:line="276" w:lineRule="auto"/>
        <w:rPr>
          <w:rFonts w:ascii="Arial" w:eastAsia="Calibri" w:hAnsi="Arial" w:cs="Arial"/>
          <w:sz w:val="24"/>
          <w:szCs w:val="20"/>
        </w:rPr>
      </w:pPr>
    </w:p>
    <w:p w:rsidR="00D20927" w:rsidRDefault="006A31AE" w:rsidP="006A31AE">
      <w:pPr>
        <w:spacing w:after="200" w:line="276" w:lineRule="auto"/>
        <w:rPr>
          <w:rFonts w:ascii="Arial" w:eastAsia="Calibri" w:hAnsi="Arial" w:cs="Arial"/>
          <w:sz w:val="24"/>
          <w:szCs w:val="20"/>
        </w:rPr>
      </w:pPr>
      <w:r w:rsidRPr="00E0459A">
        <w:rPr>
          <w:rFonts w:ascii="Arial" w:eastAsia="Calibri" w:hAnsi="Arial" w:cs="Arial"/>
          <w:sz w:val="24"/>
          <w:szCs w:val="20"/>
        </w:rPr>
        <w:t>indigenous children and UASC which makes comparisons with other areas difficult.</w:t>
      </w:r>
    </w:p>
    <w:p w:rsidR="00D20927" w:rsidRDefault="00D20927" w:rsidP="00061F50">
      <w:pPr>
        <w:spacing w:after="0" w:line="240" w:lineRule="auto"/>
        <w:rPr>
          <w:rFonts w:ascii="Arial" w:eastAsia="Calibri" w:hAnsi="Arial" w:cs="Arial"/>
          <w:sz w:val="24"/>
          <w:szCs w:val="20"/>
        </w:rPr>
      </w:pPr>
    </w:p>
    <w:p w:rsidR="006A31AE" w:rsidRPr="005D0B91" w:rsidRDefault="006A31AE" w:rsidP="006A31AE">
      <w:pPr>
        <w:spacing w:after="200" w:line="276" w:lineRule="auto"/>
        <w:rPr>
          <w:rFonts w:ascii="Arial" w:eastAsia="Calibri" w:hAnsi="Arial" w:cs="Arial"/>
          <w:color w:val="000000" w:themeColor="text1"/>
          <w:sz w:val="24"/>
          <w:szCs w:val="20"/>
        </w:rPr>
      </w:pPr>
      <w:r w:rsidRPr="005D0B91">
        <w:rPr>
          <w:rFonts w:ascii="Arial" w:eastAsia="Calibri" w:hAnsi="Arial" w:cs="Arial"/>
          <w:color w:val="000000" w:themeColor="text1"/>
          <w:sz w:val="24"/>
          <w:szCs w:val="20"/>
        </w:rPr>
        <w:t>Figure 8 shows that whilst the majority of the indigenous population are teenagers, around a third are aged under 10. Over the last 5 years, there has been a slight increase in the number of children aged 16 and over.</w:t>
      </w:r>
    </w:p>
    <w:p w:rsidR="006A31AE" w:rsidRPr="00E0459A" w:rsidRDefault="006A31AE" w:rsidP="006A31AE">
      <w:pPr>
        <w:spacing w:after="0" w:line="276" w:lineRule="auto"/>
        <w:rPr>
          <w:rFonts w:ascii="Arial" w:eastAsia="Calibri" w:hAnsi="Arial" w:cs="Arial"/>
          <w:noProof/>
          <w:sz w:val="24"/>
          <w:szCs w:val="24"/>
          <w:u w:val="single"/>
        </w:rPr>
      </w:pPr>
      <w:r w:rsidRPr="00E0459A">
        <w:rPr>
          <w:rFonts w:ascii="Arial" w:eastAsia="Calibri" w:hAnsi="Arial" w:cs="Arial"/>
          <w:noProof/>
          <w:sz w:val="24"/>
          <w:szCs w:val="24"/>
          <w:u w:val="single"/>
        </w:rPr>
        <w:t>Figure 8 –Croydon’s indigenous LAC by age 201</w:t>
      </w:r>
      <w:r w:rsidR="00E0459A" w:rsidRPr="00E0459A">
        <w:rPr>
          <w:rFonts w:ascii="Arial" w:eastAsia="Calibri" w:hAnsi="Arial" w:cs="Arial"/>
          <w:noProof/>
          <w:sz w:val="24"/>
          <w:szCs w:val="24"/>
          <w:u w:val="single"/>
        </w:rPr>
        <w:t>2</w:t>
      </w:r>
      <w:r w:rsidRPr="00E0459A">
        <w:rPr>
          <w:rFonts w:ascii="Arial" w:eastAsia="Calibri" w:hAnsi="Arial" w:cs="Arial"/>
          <w:noProof/>
          <w:sz w:val="24"/>
          <w:szCs w:val="24"/>
          <w:u w:val="single"/>
        </w:rPr>
        <w:t>/</w:t>
      </w:r>
      <w:r w:rsidR="00F82D2F">
        <w:rPr>
          <w:rFonts w:ascii="Arial" w:eastAsia="Calibri" w:hAnsi="Arial" w:cs="Arial"/>
          <w:noProof/>
          <w:sz w:val="24"/>
          <w:szCs w:val="24"/>
          <w:u w:val="single"/>
        </w:rPr>
        <w:t>20</w:t>
      </w:r>
      <w:r w:rsidRPr="00E0459A">
        <w:rPr>
          <w:rFonts w:ascii="Arial" w:eastAsia="Calibri" w:hAnsi="Arial" w:cs="Arial"/>
          <w:noProof/>
          <w:sz w:val="24"/>
          <w:szCs w:val="24"/>
          <w:u w:val="single"/>
        </w:rPr>
        <w:t>1</w:t>
      </w:r>
      <w:r w:rsidR="00E0459A" w:rsidRPr="00E0459A">
        <w:rPr>
          <w:rFonts w:ascii="Arial" w:eastAsia="Calibri" w:hAnsi="Arial" w:cs="Arial"/>
          <w:noProof/>
          <w:sz w:val="24"/>
          <w:szCs w:val="24"/>
          <w:u w:val="single"/>
        </w:rPr>
        <w:t>3</w:t>
      </w:r>
      <w:r w:rsidRPr="00E0459A">
        <w:rPr>
          <w:rFonts w:ascii="Arial" w:eastAsia="Calibri" w:hAnsi="Arial" w:cs="Arial"/>
          <w:noProof/>
          <w:sz w:val="24"/>
          <w:szCs w:val="24"/>
          <w:u w:val="single"/>
        </w:rPr>
        <w:t>-201</w:t>
      </w:r>
      <w:r w:rsidR="00E0459A" w:rsidRPr="00E0459A">
        <w:rPr>
          <w:rFonts w:ascii="Arial" w:eastAsia="Calibri" w:hAnsi="Arial" w:cs="Arial"/>
          <w:noProof/>
          <w:sz w:val="24"/>
          <w:szCs w:val="24"/>
          <w:u w:val="single"/>
        </w:rPr>
        <w:t>6</w:t>
      </w:r>
      <w:r w:rsidRPr="00E0459A">
        <w:rPr>
          <w:rFonts w:ascii="Arial" w:eastAsia="Calibri" w:hAnsi="Arial" w:cs="Arial"/>
          <w:noProof/>
          <w:sz w:val="24"/>
          <w:szCs w:val="24"/>
          <w:u w:val="single"/>
        </w:rPr>
        <w:t>/</w:t>
      </w:r>
      <w:r w:rsidR="00F82D2F">
        <w:rPr>
          <w:rFonts w:ascii="Arial" w:eastAsia="Calibri" w:hAnsi="Arial" w:cs="Arial"/>
          <w:noProof/>
          <w:sz w:val="24"/>
          <w:szCs w:val="24"/>
          <w:u w:val="single"/>
        </w:rPr>
        <w:t>20</w:t>
      </w:r>
      <w:r w:rsidRPr="00E0459A">
        <w:rPr>
          <w:rFonts w:ascii="Arial" w:eastAsia="Calibri" w:hAnsi="Arial" w:cs="Arial"/>
          <w:noProof/>
          <w:sz w:val="24"/>
          <w:szCs w:val="24"/>
          <w:u w:val="single"/>
        </w:rPr>
        <w:t>1</w:t>
      </w:r>
      <w:r w:rsidR="00E0459A" w:rsidRPr="00E0459A">
        <w:rPr>
          <w:rFonts w:ascii="Arial" w:eastAsia="Calibri" w:hAnsi="Arial" w:cs="Arial"/>
          <w:noProof/>
          <w:sz w:val="24"/>
          <w:szCs w:val="24"/>
          <w:u w:val="single"/>
        </w:rPr>
        <w:t>7</w:t>
      </w:r>
    </w:p>
    <w:p w:rsidR="00E0459A" w:rsidRPr="00E0459A" w:rsidRDefault="00E0459A" w:rsidP="006A31AE">
      <w:pPr>
        <w:spacing w:after="0" w:line="276" w:lineRule="auto"/>
        <w:rPr>
          <w:rFonts w:ascii="Arial" w:eastAsia="Calibri" w:hAnsi="Arial" w:cs="Arial"/>
          <w:noProof/>
          <w:sz w:val="24"/>
          <w:szCs w:val="24"/>
          <w:lang w:eastAsia="en-GB"/>
        </w:rPr>
      </w:pPr>
    </w:p>
    <w:p w:rsidR="00E0459A" w:rsidRDefault="00E0459A" w:rsidP="006A31AE">
      <w:pPr>
        <w:spacing w:after="0" w:line="276" w:lineRule="auto"/>
        <w:rPr>
          <w:rFonts w:ascii="Arial" w:eastAsia="Calibri" w:hAnsi="Arial" w:cs="Arial"/>
          <w:noProof/>
          <w:color w:val="FF0000"/>
          <w:sz w:val="24"/>
          <w:szCs w:val="24"/>
          <w:lang w:eastAsia="en-GB"/>
        </w:rPr>
      </w:pPr>
      <w:r>
        <w:rPr>
          <w:noProof/>
          <w:lang w:eastAsia="en-GB"/>
        </w:rPr>
        <w:drawing>
          <wp:inline distT="0" distB="0" distL="0" distR="0" wp14:anchorId="1826B89E" wp14:editId="59E13E18">
            <wp:extent cx="4206875" cy="2376805"/>
            <wp:effectExtent l="0" t="0" r="3175" b="4445"/>
            <wp:docPr id="13948" name="Chart 139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0"/>
              </a:graphicData>
            </a:graphic>
          </wp:inline>
        </w:drawing>
      </w:r>
    </w:p>
    <w:p w:rsidR="006A31AE" w:rsidRPr="005D0B91" w:rsidRDefault="006A31AE" w:rsidP="006A31AE">
      <w:pPr>
        <w:spacing w:after="0" w:line="276" w:lineRule="auto"/>
        <w:rPr>
          <w:rFonts w:ascii="Arial" w:eastAsia="Calibri" w:hAnsi="Arial" w:cs="Arial"/>
          <w:color w:val="000000" w:themeColor="text1"/>
          <w:sz w:val="20"/>
          <w:szCs w:val="20"/>
        </w:rPr>
      </w:pPr>
      <w:r w:rsidRPr="005D0B91">
        <w:rPr>
          <w:rFonts w:ascii="Arial" w:eastAsia="Calibri" w:hAnsi="Arial" w:cs="Arial"/>
          <w:color w:val="000000" w:themeColor="text1"/>
          <w:sz w:val="20"/>
          <w:szCs w:val="20"/>
        </w:rPr>
        <w:t>Source: SSD903 Extract from CRS.</w:t>
      </w:r>
    </w:p>
    <w:p w:rsidR="006A31AE" w:rsidRPr="005D0B91" w:rsidRDefault="006A31AE" w:rsidP="006A31AE">
      <w:pPr>
        <w:spacing w:after="0" w:line="276" w:lineRule="auto"/>
        <w:rPr>
          <w:rFonts w:ascii="Arial" w:eastAsia="Calibri" w:hAnsi="Arial" w:cs="Arial"/>
          <w:color w:val="000000" w:themeColor="text1"/>
          <w:sz w:val="24"/>
          <w:szCs w:val="20"/>
        </w:rPr>
      </w:pPr>
    </w:p>
    <w:p w:rsidR="00596A1A" w:rsidRDefault="00596A1A" w:rsidP="006A31AE">
      <w:pPr>
        <w:spacing w:after="0" w:line="276" w:lineRule="auto"/>
        <w:rPr>
          <w:rFonts w:ascii="Arial" w:eastAsia="Calibri" w:hAnsi="Arial" w:cs="Arial"/>
          <w:noProof/>
          <w:color w:val="000000" w:themeColor="text1"/>
          <w:sz w:val="24"/>
          <w:szCs w:val="24"/>
        </w:rPr>
      </w:pPr>
    </w:p>
    <w:p w:rsidR="00596A1A" w:rsidRDefault="00596A1A" w:rsidP="006A31AE">
      <w:pPr>
        <w:spacing w:after="0" w:line="276" w:lineRule="auto"/>
        <w:rPr>
          <w:rFonts w:ascii="Arial" w:eastAsia="Calibri" w:hAnsi="Arial" w:cs="Arial"/>
          <w:noProof/>
          <w:color w:val="000000" w:themeColor="text1"/>
          <w:sz w:val="24"/>
          <w:szCs w:val="24"/>
        </w:rPr>
      </w:pPr>
    </w:p>
    <w:p w:rsidR="00596A1A" w:rsidRDefault="00596A1A" w:rsidP="006A31AE">
      <w:pPr>
        <w:spacing w:after="0" w:line="276" w:lineRule="auto"/>
        <w:rPr>
          <w:rFonts w:ascii="Arial" w:eastAsia="Calibri" w:hAnsi="Arial" w:cs="Arial"/>
          <w:noProof/>
          <w:color w:val="000000" w:themeColor="text1"/>
          <w:sz w:val="24"/>
          <w:szCs w:val="24"/>
        </w:rPr>
      </w:pPr>
    </w:p>
    <w:p w:rsidR="006A31AE" w:rsidRPr="005D0B91" w:rsidRDefault="00347B21" w:rsidP="006A31AE">
      <w:pPr>
        <w:spacing w:after="0" w:line="276" w:lineRule="auto"/>
        <w:rPr>
          <w:rFonts w:ascii="Arial" w:eastAsia="Calibri" w:hAnsi="Arial" w:cs="Arial"/>
          <w:noProof/>
          <w:color w:val="000000" w:themeColor="text1"/>
          <w:sz w:val="24"/>
          <w:szCs w:val="24"/>
        </w:rPr>
      </w:pPr>
      <w:r w:rsidRPr="005D0B91">
        <w:rPr>
          <w:rFonts w:ascii="Arial" w:eastAsia="Calibri" w:hAnsi="Arial" w:cs="Arial"/>
          <w:noProof/>
          <w:color w:val="000000" w:themeColor="text1"/>
          <w:sz w:val="24"/>
          <w:szCs w:val="24"/>
        </w:rPr>
        <w:t>I</w:t>
      </w:r>
      <w:r w:rsidR="006A31AE" w:rsidRPr="005D0B91">
        <w:rPr>
          <w:rFonts w:ascii="Arial" w:eastAsia="Calibri" w:hAnsi="Arial" w:cs="Arial"/>
          <w:noProof/>
          <w:color w:val="000000" w:themeColor="text1"/>
          <w:sz w:val="24"/>
          <w:szCs w:val="24"/>
        </w:rPr>
        <w:t>n contrast, all of the UASC looked after by Croydon are aged 10 or over, with the majority being aged 16 and over.</w:t>
      </w:r>
    </w:p>
    <w:p w:rsidR="006A31AE" w:rsidRPr="005D0B91" w:rsidRDefault="006A31AE" w:rsidP="006A31AE">
      <w:pPr>
        <w:spacing w:after="0" w:line="276" w:lineRule="auto"/>
        <w:rPr>
          <w:rFonts w:ascii="Arial" w:eastAsia="Calibri" w:hAnsi="Arial" w:cs="Arial"/>
          <w:noProof/>
          <w:color w:val="000000" w:themeColor="text1"/>
          <w:sz w:val="24"/>
          <w:szCs w:val="24"/>
        </w:rPr>
      </w:pPr>
    </w:p>
    <w:p w:rsidR="006A31AE" w:rsidRPr="005D0B91" w:rsidRDefault="006A31AE" w:rsidP="006A31AE">
      <w:pPr>
        <w:spacing w:after="0" w:line="276" w:lineRule="auto"/>
        <w:rPr>
          <w:rFonts w:ascii="Arial" w:eastAsia="Calibri" w:hAnsi="Arial" w:cs="Arial"/>
          <w:noProof/>
          <w:color w:val="000000" w:themeColor="text1"/>
          <w:sz w:val="24"/>
          <w:szCs w:val="24"/>
          <w:u w:val="single"/>
        </w:rPr>
      </w:pPr>
      <w:r w:rsidRPr="005D0B91">
        <w:rPr>
          <w:rFonts w:ascii="Arial" w:eastAsia="Calibri" w:hAnsi="Arial" w:cs="Arial"/>
          <w:noProof/>
          <w:color w:val="000000" w:themeColor="text1"/>
          <w:sz w:val="24"/>
          <w:szCs w:val="24"/>
          <w:u w:val="single"/>
        </w:rPr>
        <w:t>Figure 9 –Croydon’s UASC by age 2011/12-2015/16</w:t>
      </w:r>
    </w:p>
    <w:p w:rsidR="006A31AE" w:rsidRPr="005D0B91" w:rsidRDefault="006A31AE" w:rsidP="006A31AE">
      <w:pPr>
        <w:spacing w:after="0" w:line="276" w:lineRule="auto"/>
        <w:rPr>
          <w:rFonts w:ascii="Arial" w:eastAsia="Calibri" w:hAnsi="Arial" w:cs="Arial"/>
          <w:noProof/>
          <w:color w:val="000000" w:themeColor="text1"/>
          <w:sz w:val="24"/>
          <w:szCs w:val="24"/>
        </w:rPr>
      </w:pPr>
    </w:p>
    <w:p w:rsidR="006A31AE" w:rsidRPr="004327FC" w:rsidRDefault="006A31AE" w:rsidP="006A31AE">
      <w:pPr>
        <w:spacing w:after="0" w:line="276" w:lineRule="auto"/>
        <w:rPr>
          <w:rFonts w:ascii="Arial" w:eastAsia="Calibri" w:hAnsi="Arial" w:cs="Arial"/>
          <w:noProof/>
          <w:color w:val="000000" w:themeColor="text1"/>
          <w:sz w:val="24"/>
          <w:szCs w:val="24"/>
        </w:rPr>
      </w:pPr>
      <w:r w:rsidRPr="006A31AE">
        <w:rPr>
          <w:rFonts w:ascii="Arial" w:eastAsia="Calibri" w:hAnsi="Arial" w:cs="Arial"/>
          <w:noProof/>
          <w:color w:val="FF0000"/>
          <w:sz w:val="24"/>
          <w:szCs w:val="24"/>
          <w:lang w:eastAsia="en-GB"/>
        </w:rPr>
        <w:drawing>
          <wp:inline distT="0" distB="0" distL="0" distR="0" wp14:anchorId="56DEF969" wp14:editId="43130EBB">
            <wp:extent cx="4309644" cy="2720738"/>
            <wp:effectExtent l="19050" t="19050" r="15240" b="2286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316192" cy="2724872"/>
                    </a:xfrm>
                    <a:prstGeom prst="rect">
                      <a:avLst/>
                    </a:prstGeom>
                    <a:noFill/>
                    <a:ln>
                      <a:solidFill>
                        <a:schemeClr val="tx1"/>
                      </a:solidFill>
                    </a:ln>
                  </pic:spPr>
                </pic:pic>
              </a:graphicData>
            </a:graphic>
          </wp:inline>
        </w:drawing>
      </w:r>
    </w:p>
    <w:p w:rsidR="006A31AE" w:rsidRPr="004327FC" w:rsidRDefault="006A31AE" w:rsidP="006A31AE">
      <w:pPr>
        <w:spacing w:after="0" w:line="276" w:lineRule="auto"/>
        <w:rPr>
          <w:rFonts w:ascii="Arial" w:eastAsia="Calibri" w:hAnsi="Arial" w:cs="Arial"/>
          <w:color w:val="000000" w:themeColor="text1"/>
          <w:sz w:val="20"/>
          <w:szCs w:val="20"/>
        </w:rPr>
      </w:pPr>
      <w:r w:rsidRPr="004327FC">
        <w:rPr>
          <w:rFonts w:ascii="Arial" w:eastAsia="Calibri" w:hAnsi="Arial" w:cs="Arial"/>
          <w:color w:val="000000" w:themeColor="text1"/>
          <w:sz w:val="20"/>
          <w:szCs w:val="20"/>
        </w:rPr>
        <w:t>Source: SSD903 Extract from CRS.</w:t>
      </w:r>
    </w:p>
    <w:p w:rsidR="006A31AE" w:rsidRPr="004327FC" w:rsidRDefault="006A31AE" w:rsidP="006A31AE">
      <w:pPr>
        <w:spacing w:after="0" w:line="276" w:lineRule="auto"/>
        <w:rPr>
          <w:rFonts w:ascii="Arial" w:eastAsia="Calibri" w:hAnsi="Arial" w:cs="Arial"/>
          <w:color w:val="000000" w:themeColor="text1"/>
          <w:sz w:val="24"/>
          <w:szCs w:val="20"/>
        </w:rPr>
      </w:pPr>
    </w:p>
    <w:p w:rsidR="006A31AE" w:rsidRPr="004327FC" w:rsidRDefault="006A31AE" w:rsidP="006A31AE">
      <w:pPr>
        <w:spacing w:after="0" w:line="276" w:lineRule="auto"/>
        <w:rPr>
          <w:rFonts w:ascii="Arial" w:eastAsia="Calibri" w:hAnsi="Arial" w:cs="Arial"/>
          <w:color w:val="000000" w:themeColor="text1"/>
          <w:sz w:val="24"/>
          <w:szCs w:val="20"/>
        </w:rPr>
      </w:pPr>
    </w:p>
    <w:p w:rsidR="00936A29" w:rsidRPr="004327FC" w:rsidRDefault="006A31AE" w:rsidP="00936A29">
      <w:pPr>
        <w:spacing w:after="0" w:line="240" w:lineRule="auto"/>
        <w:rPr>
          <w:rFonts w:ascii="Arial" w:eastAsia="Calibri" w:hAnsi="Arial" w:cs="Arial"/>
          <w:color w:val="000000" w:themeColor="text1"/>
          <w:sz w:val="24"/>
          <w:szCs w:val="24"/>
        </w:rPr>
      </w:pPr>
      <w:r w:rsidRPr="004327FC">
        <w:rPr>
          <w:rFonts w:ascii="Arial" w:eastAsia="Calibri" w:hAnsi="Arial" w:cs="Arial"/>
          <w:color w:val="000000" w:themeColor="text1"/>
          <w:sz w:val="24"/>
          <w:szCs w:val="24"/>
        </w:rPr>
        <w:t xml:space="preserve">Figure 10 shows the breakdown in broad ethnic groups of the children looked after as at 31. March 2016.   The groupings are not as straightforward as they may appear. It should be noted that a high proportion of UASC are recorded as being from a White or White British background but are linked to the high number of UASC from Albania. Similarly a high proportion of UASC are recorded as being from an Asian or </w:t>
      </w:r>
    </w:p>
    <w:p w:rsidR="00936A29" w:rsidRPr="004327FC" w:rsidRDefault="00936A29" w:rsidP="00936A29">
      <w:pPr>
        <w:spacing w:after="0" w:line="240" w:lineRule="auto"/>
        <w:rPr>
          <w:rFonts w:ascii="Arial" w:eastAsia="Calibri" w:hAnsi="Arial" w:cs="Arial"/>
          <w:color w:val="000000" w:themeColor="text1"/>
          <w:sz w:val="24"/>
          <w:szCs w:val="24"/>
        </w:rPr>
      </w:pPr>
    </w:p>
    <w:p w:rsidR="00936A29" w:rsidRPr="004327FC" w:rsidRDefault="006A31AE" w:rsidP="00936A29">
      <w:pPr>
        <w:spacing w:after="0" w:line="240" w:lineRule="auto"/>
        <w:rPr>
          <w:rFonts w:ascii="Arial" w:eastAsia="Calibri" w:hAnsi="Arial" w:cs="Arial"/>
          <w:color w:val="000000" w:themeColor="text1"/>
          <w:sz w:val="24"/>
          <w:szCs w:val="24"/>
        </w:rPr>
      </w:pPr>
      <w:r w:rsidRPr="004327FC">
        <w:rPr>
          <w:rFonts w:ascii="Arial" w:eastAsia="Calibri" w:hAnsi="Arial" w:cs="Arial"/>
          <w:color w:val="000000" w:themeColor="text1"/>
          <w:sz w:val="24"/>
          <w:szCs w:val="24"/>
        </w:rPr>
        <w:t xml:space="preserve">Asian British background where they have come from Afghanistan. </w:t>
      </w:r>
    </w:p>
    <w:p w:rsidR="00936A29" w:rsidRPr="004327FC" w:rsidRDefault="00936A29" w:rsidP="00936A29">
      <w:pPr>
        <w:spacing w:after="0" w:line="240" w:lineRule="auto"/>
        <w:rPr>
          <w:rFonts w:ascii="Arial" w:eastAsia="Calibri" w:hAnsi="Arial" w:cs="Arial"/>
          <w:color w:val="000000" w:themeColor="text1"/>
          <w:sz w:val="24"/>
          <w:szCs w:val="24"/>
        </w:rPr>
      </w:pPr>
    </w:p>
    <w:p w:rsidR="00936A29" w:rsidRPr="004327FC" w:rsidRDefault="00936A29" w:rsidP="006A31AE">
      <w:pPr>
        <w:spacing w:after="0" w:line="276" w:lineRule="auto"/>
        <w:rPr>
          <w:rFonts w:ascii="Arial" w:eastAsia="Calibri" w:hAnsi="Arial" w:cs="Arial"/>
          <w:color w:val="000000" w:themeColor="text1"/>
          <w:sz w:val="24"/>
          <w:szCs w:val="24"/>
          <w:u w:val="single"/>
        </w:rPr>
      </w:pPr>
    </w:p>
    <w:p w:rsidR="006A31AE" w:rsidRPr="004327FC" w:rsidRDefault="006A31AE" w:rsidP="006A31AE">
      <w:pPr>
        <w:spacing w:after="0" w:line="276" w:lineRule="auto"/>
        <w:rPr>
          <w:rFonts w:ascii="Arial" w:eastAsia="Calibri" w:hAnsi="Arial" w:cs="Arial"/>
          <w:i/>
          <w:color w:val="000000" w:themeColor="text1"/>
          <w:sz w:val="20"/>
          <w:szCs w:val="20"/>
          <w:u w:val="single"/>
        </w:rPr>
      </w:pPr>
      <w:r w:rsidRPr="004327FC">
        <w:rPr>
          <w:rFonts w:ascii="Arial" w:eastAsia="Calibri" w:hAnsi="Arial" w:cs="Arial"/>
          <w:color w:val="000000" w:themeColor="text1"/>
          <w:sz w:val="24"/>
          <w:szCs w:val="24"/>
          <w:u w:val="single"/>
        </w:rPr>
        <w:t>Figure 10 – Children looked after at 31 March 2016 by ethnic origin</w:t>
      </w:r>
    </w:p>
    <w:p w:rsidR="006A31AE" w:rsidRPr="004327FC" w:rsidRDefault="006A31AE" w:rsidP="006A31AE">
      <w:pPr>
        <w:spacing w:after="200" w:line="276" w:lineRule="auto"/>
        <w:rPr>
          <w:rFonts w:ascii="Arial" w:eastAsia="Calibri" w:hAnsi="Arial" w:cs="Arial"/>
          <w:color w:val="000000" w:themeColor="text1"/>
          <w:sz w:val="24"/>
          <w:szCs w:val="24"/>
        </w:rPr>
      </w:pPr>
      <w:r w:rsidRPr="004327FC">
        <w:rPr>
          <w:rFonts w:ascii="Arial" w:eastAsia="Calibri" w:hAnsi="Arial" w:cs="Arial"/>
          <w:i/>
          <w:noProof/>
          <w:color w:val="000000" w:themeColor="text1"/>
          <w:sz w:val="20"/>
          <w:szCs w:val="20"/>
          <w:lang w:eastAsia="en-GB"/>
        </w:rPr>
        <w:drawing>
          <wp:inline distT="0" distB="0" distL="0" distR="0" wp14:anchorId="4D28F0C0" wp14:editId="36A8E744">
            <wp:extent cx="4462161" cy="2682240"/>
            <wp:effectExtent l="19050" t="19050" r="14605" b="2286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467641" cy="2685534"/>
                    </a:xfrm>
                    <a:prstGeom prst="rect">
                      <a:avLst/>
                    </a:prstGeom>
                    <a:noFill/>
                    <a:ln>
                      <a:solidFill>
                        <a:schemeClr val="tx1"/>
                      </a:solidFill>
                    </a:ln>
                  </pic:spPr>
                </pic:pic>
              </a:graphicData>
            </a:graphic>
          </wp:inline>
        </w:drawing>
      </w:r>
    </w:p>
    <w:p w:rsidR="006A31AE" w:rsidRPr="004327FC" w:rsidRDefault="006A31AE" w:rsidP="006A31AE">
      <w:pPr>
        <w:spacing w:after="200" w:line="276" w:lineRule="auto"/>
        <w:rPr>
          <w:rFonts w:ascii="Arial" w:eastAsia="Calibri" w:hAnsi="Arial" w:cs="Arial"/>
          <w:color w:val="000000" w:themeColor="text1"/>
          <w:sz w:val="20"/>
          <w:szCs w:val="20"/>
        </w:rPr>
      </w:pPr>
      <w:r w:rsidRPr="004327FC">
        <w:rPr>
          <w:rFonts w:ascii="Arial" w:eastAsia="Calibri" w:hAnsi="Arial" w:cs="Arial"/>
          <w:color w:val="000000" w:themeColor="text1"/>
          <w:sz w:val="20"/>
          <w:szCs w:val="20"/>
        </w:rPr>
        <w:t>Source: SSDA903, Table LAA8.</w:t>
      </w:r>
    </w:p>
    <w:p w:rsidR="006A31AE" w:rsidRPr="004327FC" w:rsidRDefault="006A31AE" w:rsidP="006A31AE">
      <w:pPr>
        <w:spacing w:after="200" w:line="276" w:lineRule="auto"/>
        <w:rPr>
          <w:rFonts w:ascii="Arial" w:eastAsia="Calibri" w:hAnsi="Arial" w:cs="Arial"/>
          <w:color w:val="000000" w:themeColor="text1"/>
          <w:sz w:val="24"/>
          <w:szCs w:val="24"/>
        </w:rPr>
      </w:pPr>
    </w:p>
    <w:p w:rsidR="006A31AE" w:rsidRPr="005D0B91" w:rsidRDefault="006A31AE" w:rsidP="006A31AE">
      <w:pPr>
        <w:spacing w:after="200" w:line="276" w:lineRule="auto"/>
        <w:rPr>
          <w:rFonts w:ascii="Arial" w:eastAsia="Calibri" w:hAnsi="Arial" w:cs="Arial"/>
          <w:color w:val="000000" w:themeColor="text1"/>
          <w:sz w:val="24"/>
          <w:szCs w:val="24"/>
        </w:rPr>
      </w:pPr>
      <w:r w:rsidRPr="004327FC">
        <w:rPr>
          <w:rFonts w:ascii="Arial" w:eastAsia="Calibri" w:hAnsi="Arial" w:cs="Arial"/>
          <w:color w:val="000000" w:themeColor="text1"/>
          <w:sz w:val="24"/>
          <w:szCs w:val="24"/>
        </w:rPr>
        <w:t xml:space="preserve">The ethnic profile of the indigenous and UASC cohorts is very different in Croydon. Children from White or White British ethnic backgrounds and from Mixed or Dual ethnic backgrounds are overrepresented amongst indigenous looked </w:t>
      </w:r>
      <w:r w:rsidRPr="005D0B91">
        <w:rPr>
          <w:rFonts w:ascii="Arial" w:eastAsia="Calibri" w:hAnsi="Arial" w:cs="Arial"/>
          <w:color w:val="000000" w:themeColor="text1"/>
          <w:sz w:val="24"/>
          <w:szCs w:val="24"/>
        </w:rPr>
        <w:t>after children.</w:t>
      </w:r>
    </w:p>
    <w:p w:rsidR="007D5923" w:rsidRPr="005D0B91" w:rsidRDefault="007D5923" w:rsidP="006A31AE">
      <w:pPr>
        <w:spacing w:after="200" w:line="276" w:lineRule="auto"/>
        <w:rPr>
          <w:rFonts w:ascii="Arial" w:eastAsia="Calibri" w:hAnsi="Arial" w:cs="Arial"/>
          <w:color w:val="000000" w:themeColor="text1"/>
          <w:sz w:val="24"/>
          <w:szCs w:val="24"/>
        </w:rPr>
      </w:pPr>
    </w:p>
    <w:p w:rsidR="006A31AE" w:rsidRPr="005D0B91" w:rsidRDefault="006A31AE" w:rsidP="006A31AE">
      <w:pPr>
        <w:spacing w:after="200" w:line="276" w:lineRule="auto"/>
        <w:rPr>
          <w:rFonts w:ascii="Arial" w:eastAsia="Calibri" w:hAnsi="Arial" w:cs="Arial"/>
          <w:color w:val="000000" w:themeColor="text1"/>
          <w:sz w:val="24"/>
          <w:szCs w:val="24"/>
        </w:rPr>
      </w:pPr>
      <w:r w:rsidRPr="005D0B91">
        <w:rPr>
          <w:rFonts w:ascii="Arial" w:eastAsia="Calibri" w:hAnsi="Arial" w:cs="Arial"/>
          <w:color w:val="000000" w:themeColor="text1"/>
          <w:sz w:val="24"/>
          <w:szCs w:val="24"/>
        </w:rPr>
        <w:t>The ethnic profile of UASC changes significantly over time according to the changing nationalities of children seeking asylum.</w:t>
      </w:r>
    </w:p>
    <w:p w:rsidR="006A31AE" w:rsidRPr="005D0B91" w:rsidRDefault="006A31AE" w:rsidP="006A31AE">
      <w:pPr>
        <w:spacing w:after="200" w:line="276" w:lineRule="auto"/>
        <w:rPr>
          <w:rFonts w:ascii="Arial" w:eastAsia="Calibri" w:hAnsi="Arial" w:cs="Arial"/>
          <w:color w:val="000000" w:themeColor="text1"/>
          <w:sz w:val="24"/>
          <w:szCs w:val="24"/>
        </w:rPr>
      </w:pPr>
      <w:r w:rsidRPr="005D0B91">
        <w:rPr>
          <w:rFonts w:ascii="Arial" w:eastAsia="Calibri" w:hAnsi="Arial" w:cs="Arial"/>
          <w:color w:val="000000" w:themeColor="text1"/>
          <w:sz w:val="24"/>
          <w:szCs w:val="24"/>
        </w:rPr>
        <w:t xml:space="preserve">Figure 11 shows that the majority of indigenous looked after children in Croydon are looked after because of abuse or neglect. Abuse or neglect is also the most common need for looked after children nationally. </w:t>
      </w:r>
    </w:p>
    <w:p w:rsidR="006A31AE" w:rsidRPr="005D0B91" w:rsidRDefault="006A31AE" w:rsidP="005D0B91">
      <w:pPr>
        <w:spacing w:after="200" w:line="276" w:lineRule="auto"/>
        <w:rPr>
          <w:rFonts w:ascii="Arial" w:eastAsia="Calibri" w:hAnsi="Arial" w:cs="Arial"/>
          <w:i/>
          <w:color w:val="000000" w:themeColor="text1"/>
          <w:sz w:val="20"/>
          <w:szCs w:val="20"/>
        </w:rPr>
      </w:pPr>
      <w:r w:rsidRPr="005D0B91">
        <w:rPr>
          <w:rFonts w:ascii="Arial" w:eastAsia="Calibri" w:hAnsi="Arial" w:cs="Arial"/>
          <w:color w:val="000000" w:themeColor="text1"/>
          <w:sz w:val="24"/>
          <w:szCs w:val="24"/>
          <w:u w:val="single"/>
        </w:rPr>
        <w:t xml:space="preserve">Figure 11 – Indigenous children who started to be looked after during 2015/16 by category of need </w:t>
      </w:r>
      <w:r w:rsidRPr="005D0B91">
        <w:rPr>
          <w:rFonts w:ascii="Arial" w:eastAsia="Calibri" w:hAnsi="Arial" w:cs="Arial"/>
          <w:i/>
          <w:noProof/>
          <w:color w:val="000000" w:themeColor="text1"/>
          <w:sz w:val="20"/>
          <w:szCs w:val="20"/>
          <w:lang w:eastAsia="en-GB"/>
        </w:rPr>
        <w:drawing>
          <wp:inline distT="0" distB="0" distL="0" distR="0" wp14:anchorId="08BCFCAA" wp14:editId="5535BAE2">
            <wp:extent cx="4246341" cy="2550160"/>
            <wp:effectExtent l="19050" t="19050" r="20955" b="2159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252969" cy="2554141"/>
                    </a:xfrm>
                    <a:prstGeom prst="rect">
                      <a:avLst/>
                    </a:prstGeom>
                    <a:noFill/>
                    <a:ln>
                      <a:solidFill>
                        <a:schemeClr val="tx1"/>
                      </a:solidFill>
                    </a:ln>
                  </pic:spPr>
                </pic:pic>
              </a:graphicData>
            </a:graphic>
          </wp:inline>
        </w:drawing>
      </w:r>
    </w:p>
    <w:p w:rsidR="006A31AE" w:rsidRPr="005D0B91" w:rsidRDefault="006A31AE" w:rsidP="000D5C6C">
      <w:pPr>
        <w:spacing w:after="0" w:line="360" w:lineRule="auto"/>
        <w:rPr>
          <w:rFonts w:ascii="Arial" w:eastAsia="Calibri" w:hAnsi="Arial" w:cs="Arial"/>
          <w:color w:val="000000" w:themeColor="text1"/>
          <w:sz w:val="20"/>
          <w:szCs w:val="20"/>
        </w:rPr>
      </w:pPr>
      <w:r w:rsidRPr="005D0B91">
        <w:rPr>
          <w:rFonts w:ascii="Arial" w:eastAsia="Calibri" w:hAnsi="Arial" w:cs="Arial"/>
          <w:color w:val="000000" w:themeColor="text1"/>
          <w:sz w:val="20"/>
          <w:szCs w:val="20"/>
        </w:rPr>
        <w:t>Source: SSDA903, Table LAC4.</w:t>
      </w:r>
    </w:p>
    <w:p w:rsidR="006A31AE" w:rsidRPr="005D0B91" w:rsidRDefault="006A31AE" w:rsidP="006A31AE">
      <w:pPr>
        <w:spacing w:after="200" w:line="276" w:lineRule="auto"/>
        <w:rPr>
          <w:rFonts w:ascii="Arial" w:eastAsia="Calibri" w:hAnsi="Arial" w:cs="Arial"/>
          <w:color w:val="000000" w:themeColor="text1"/>
          <w:sz w:val="24"/>
          <w:szCs w:val="20"/>
        </w:rPr>
      </w:pPr>
    </w:p>
    <w:p w:rsidR="007D5923" w:rsidRPr="005D0B91" w:rsidRDefault="007D5923" w:rsidP="006A31AE">
      <w:pPr>
        <w:spacing w:after="200" w:line="276" w:lineRule="auto"/>
        <w:rPr>
          <w:rFonts w:ascii="Arial" w:eastAsia="Calibri" w:hAnsi="Arial" w:cs="Arial"/>
          <w:color w:val="000000" w:themeColor="text1"/>
          <w:sz w:val="24"/>
          <w:szCs w:val="20"/>
        </w:rPr>
      </w:pPr>
    </w:p>
    <w:p w:rsidR="006A31AE" w:rsidRPr="005D0B91" w:rsidRDefault="006A31AE" w:rsidP="006A31AE">
      <w:pPr>
        <w:spacing w:after="200" w:line="276" w:lineRule="auto"/>
        <w:rPr>
          <w:rFonts w:ascii="Arial" w:eastAsia="Calibri" w:hAnsi="Arial" w:cs="Arial"/>
          <w:color w:val="000000" w:themeColor="text1"/>
          <w:sz w:val="24"/>
          <w:szCs w:val="20"/>
        </w:rPr>
      </w:pPr>
      <w:r w:rsidRPr="005D0B91">
        <w:rPr>
          <w:rFonts w:ascii="Arial" w:eastAsia="Calibri" w:hAnsi="Arial" w:cs="Arial"/>
          <w:color w:val="000000" w:themeColor="text1"/>
          <w:sz w:val="24"/>
          <w:szCs w:val="20"/>
        </w:rPr>
        <w:t>Figure 12 shows the legal statuses of indigenous children who were looked after in Croydon in 2015/16. The majority of these children were looked after under a care order or section 20. In London and nationally for the same period, the proportion of S.20 was around 60%.</w:t>
      </w:r>
    </w:p>
    <w:p w:rsidR="006A31AE" w:rsidRPr="005D0B91" w:rsidRDefault="006A31AE" w:rsidP="006A31AE">
      <w:pPr>
        <w:spacing w:after="200" w:line="276" w:lineRule="auto"/>
        <w:rPr>
          <w:rFonts w:ascii="Arial" w:eastAsia="Calibri" w:hAnsi="Arial" w:cs="Arial"/>
          <w:color w:val="000000" w:themeColor="text1"/>
          <w:sz w:val="24"/>
          <w:szCs w:val="20"/>
        </w:rPr>
      </w:pPr>
    </w:p>
    <w:p w:rsidR="006A31AE" w:rsidRPr="005D0B91" w:rsidRDefault="006A31AE" w:rsidP="006A31AE">
      <w:pPr>
        <w:spacing w:after="0" w:line="276" w:lineRule="auto"/>
        <w:rPr>
          <w:rFonts w:ascii="Arial" w:eastAsia="Calibri" w:hAnsi="Arial" w:cs="Arial"/>
          <w:color w:val="000000" w:themeColor="text1"/>
          <w:sz w:val="24"/>
          <w:szCs w:val="24"/>
          <w:u w:val="single"/>
        </w:rPr>
      </w:pPr>
      <w:r w:rsidRPr="005D0B91">
        <w:rPr>
          <w:rFonts w:ascii="Arial" w:eastAsia="Calibri" w:hAnsi="Arial" w:cs="Arial"/>
          <w:color w:val="000000" w:themeColor="text1"/>
          <w:sz w:val="24"/>
          <w:szCs w:val="24"/>
          <w:u w:val="single"/>
        </w:rPr>
        <w:t>Figure 12 – Indigenous children looked after at 31 March 201</w:t>
      </w:r>
      <w:r w:rsidR="00F82D2F" w:rsidRPr="005D0B91">
        <w:rPr>
          <w:rFonts w:ascii="Arial" w:eastAsia="Calibri" w:hAnsi="Arial" w:cs="Arial"/>
          <w:color w:val="000000" w:themeColor="text1"/>
          <w:sz w:val="24"/>
          <w:szCs w:val="24"/>
          <w:u w:val="single"/>
        </w:rPr>
        <w:t>6</w:t>
      </w:r>
      <w:r w:rsidRPr="005D0B91">
        <w:rPr>
          <w:rFonts w:ascii="Arial" w:eastAsia="Calibri" w:hAnsi="Arial" w:cs="Arial"/>
          <w:color w:val="000000" w:themeColor="text1"/>
          <w:sz w:val="24"/>
          <w:szCs w:val="24"/>
          <w:u w:val="single"/>
        </w:rPr>
        <w:t xml:space="preserve"> by legal status (provisional)</w:t>
      </w:r>
    </w:p>
    <w:p w:rsidR="006A31AE" w:rsidRPr="005D0B91" w:rsidRDefault="006A31AE" w:rsidP="006A31AE">
      <w:pPr>
        <w:spacing w:after="0" w:line="276" w:lineRule="auto"/>
        <w:rPr>
          <w:rFonts w:ascii="Arial" w:eastAsia="Calibri" w:hAnsi="Arial" w:cs="Arial"/>
          <w:color w:val="000000" w:themeColor="text1"/>
          <w:sz w:val="24"/>
          <w:szCs w:val="24"/>
        </w:rPr>
      </w:pPr>
      <w:r w:rsidRPr="005D0B91">
        <w:rPr>
          <w:rFonts w:ascii="Arial" w:eastAsia="Calibri" w:hAnsi="Arial" w:cs="Arial"/>
          <w:noProof/>
          <w:color w:val="000000" w:themeColor="text1"/>
          <w:sz w:val="24"/>
          <w:szCs w:val="24"/>
          <w:lang w:eastAsia="en-GB"/>
        </w:rPr>
        <w:drawing>
          <wp:inline distT="0" distB="0" distL="0" distR="0" wp14:anchorId="094F41A1" wp14:editId="40956294">
            <wp:extent cx="4277360" cy="2571155"/>
            <wp:effectExtent l="19050" t="19050" r="27940" b="1968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280760" cy="2573199"/>
                    </a:xfrm>
                    <a:prstGeom prst="rect">
                      <a:avLst/>
                    </a:prstGeom>
                    <a:noFill/>
                    <a:ln>
                      <a:solidFill>
                        <a:schemeClr val="tx1"/>
                      </a:solidFill>
                    </a:ln>
                  </pic:spPr>
                </pic:pic>
              </a:graphicData>
            </a:graphic>
          </wp:inline>
        </w:drawing>
      </w:r>
    </w:p>
    <w:p w:rsidR="006A31AE" w:rsidRPr="005D0B91" w:rsidRDefault="006A31AE" w:rsidP="006771E1">
      <w:pPr>
        <w:spacing w:before="120" w:after="100" w:afterAutospacing="1" w:line="240" w:lineRule="auto"/>
        <w:rPr>
          <w:rFonts w:ascii="Arial" w:eastAsia="Calibri" w:hAnsi="Arial" w:cs="Arial"/>
          <w:color w:val="000000" w:themeColor="text1"/>
          <w:sz w:val="20"/>
          <w:szCs w:val="20"/>
        </w:rPr>
      </w:pPr>
      <w:r w:rsidRPr="005D0B91">
        <w:rPr>
          <w:rFonts w:ascii="Arial" w:eastAsia="Calibri" w:hAnsi="Arial" w:cs="Arial"/>
          <w:color w:val="000000" w:themeColor="text1"/>
          <w:sz w:val="20"/>
          <w:szCs w:val="20"/>
        </w:rPr>
        <w:t>Source: SSDA903, Table LAC3.</w:t>
      </w:r>
    </w:p>
    <w:p w:rsidR="006A31AE" w:rsidRPr="005D0B91" w:rsidRDefault="006A31AE" w:rsidP="006A31AE">
      <w:pPr>
        <w:spacing w:after="200" w:line="276" w:lineRule="auto"/>
        <w:rPr>
          <w:rFonts w:ascii="Arial" w:eastAsia="Calibri" w:hAnsi="Arial" w:cs="Arial"/>
          <w:color w:val="000000" w:themeColor="text1"/>
          <w:sz w:val="24"/>
          <w:szCs w:val="20"/>
        </w:rPr>
      </w:pPr>
    </w:p>
    <w:p w:rsidR="00596A1A" w:rsidRDefault="00596A1A" w:rsidP="006A31AE">
      <w:pPr>
        <w:spacing w:after="200" w:line="276" w:lineRule="auto"/>
        <w:rPr>
          <w:rFonts w:ascii="Arial" w:eastAsia="Calibri" w:hAnsi="Arial" w:cs="Arial"/>
          <w:color w:val="000000" w:themeColor="text1"/>
          <w:sz w:val="24"/>
          <w:szCs w:val="20"/>
        </w:rPr>
      </w:pPr>
    </w:p>
    <w:p w:rsidR="00596A1A" w:rsidRDefault="00596A1A" w:rsidP="006A31AE">
      <w:pPr>
        <w:spacing w:after="200" w:line="276" w:lineRule="auto"/>
        <w:rPr>
          <w:rFonts w:ascii="Arial" w:eastAsia="Calibri" w:hAnsi="Arial" w:cs="Arial"/>
          <w:color w:val="000000" w:themeColor="text1"/>
          <w:sz w:val="24"/>
          <w:szCs w:val="20"/>
        </w:rPr>
      </w:pPr>
    </w:p>
    <w:p w:rsidR="006A31AE" w:rsidRPr="005D0B91" w:rsidRDefault="007D5923" w:rsidP="006A31AE">
      <w:pPr>
        <w:spacing w:after="200" w:line="276" w:lineRule="auto"/>
        <w:rPr>
          <w:rFonts w:ascii="Arial" w:eastAsia="Calibri" w:hAnsi="Arial" w:cs="Arial"/>
          <w:color w:val="000000" w:themeColor="text1"/>
          <w:sz w:val="24"/>
          <w:szCs w:val="20"/>
        </w:rPr>
      </w:pPr>
      <w:r w:rsidRPr="005D0B91">
        <w:rPr>
          <w:rFonts w:ascii="Arial" w:eastAsia="Calibri" w:hAnsi="Arial" w:cs="Arial"/>
          <w:color w:val="000000" w:themeColor="text1"/>
          <w:sz w:val="24"/>
          <w:szCs w:val="20"/>
        </w:rPr>
        <w:t>F</w:t>
      </w:r>
      <w:r w:rsidR="006A31AE" w:rsidRPr="005D0B91">
        <w:rPr>
          <w:rFonts w:ascii="Arial" w:eastAsia="Calibri" w:hAnsi="Arial" w:cs="Arial"/>
          <w:color w:val="000000" w:themeColor="text1"/>
          <w:sz w:val="24"/>
          <w:szCs w:val="20"/>
        </w:rPr>
        <w:t xml:space="preserve">igure 13 shows that six in 10 care leavers were known to be in education, employment or </w:t>
      </w:r>
      <w:r w:rsidR="00F82D2F" w:rsidRPr="005D0B91">
        <w:rPr>
          <w:rFonts w:ascii="Arial" w:eastAsia="Calibri" w:hAnsi="Arial" w:cs="Arial"/>
          <w:color w:val="000000" w:themeColor="text1"/>
          <w:sz w:val="24"/>
          <w:szCs w:val="20"/>
        </w:rPr>
        <w:t xml:space="preserve">training on 31. March </w:t>
      </w:r>
      <w:r w:rsidR="006A31AE" w:rsidRPr="005D0B91">
        <w:rPr>
          <w:rFonts w:ascii="Arial" w:eastAsia="Calibri" w:hAnsi="Arial" w:cs="Arial"/>
          <w:color w:val="000000" w:themeColor="text1"/>
          <w:sz w:val="24"/>
          <w:szCs w:val="20"/>
        </w:rPr>
        <w:t>2016, an increase from 2015. Whereas, the regional and national rates for this outcome for those 2 years has stayed constant.</w:t>
      </w:r>
    </w:p>
    <w:p w:rsidR="006A31AE" w:rsidRPr="005D0B91" w:rsidRDefault="006A31AE" w:rsidP="006A31AE">
      <w:pPr>
        <w:spacing w:after="0" w:line="276" w:lineRule="auto"/>
        <w:rPr>
          <w:rFonts w:ascii="Arial" w:eastAsia="Calibri" w:hAnsi="Arial" w:cs="Arial"/>
          <w:color w:val="000000" w:themeColor="text1"/>
          <w:sz w:val="24"/>
          <w:szCs w:val="24"/>
        </w:rPr>
      </w:pPr>
    </w:p>
    <w:p w:rsidR="006A31AE" w:rsidRPr="005D0B91" w:rsidRDefault="006A31AE" w:rsidP="006A31AE">
      <w:pPr>
        <w:spacing w:after="0" w:line="276" w:lineRule="auto"/>
        <w:rPr>
          <w:rFonts w:ascii="Arial" w:eastAsia="Calibri" w:hAnsi="Arial" w:cs="Arial"/>
          <w:color w:val="000000" w:themeColor="text1"/>
          <w:sz w:val="24"/>
          <w:szCs w:val="24"/>
          <w:u w:val="single"/>
        </w:rPr>
      </w:pPr>
      <w:r w:rsidRPr="005D0B91">
        <w:rPr>
          <w:rFonts w:ascii="Arial" w:eastAsia="Calibri" w:hAnsi="Arial" w:cs="Arial"/>
          <w:color w:val="000000" w:themeColor="text1"/>
          <w:sz w:val="24"/>
          <w:szCs w:val="24"/>
          <w:u w:val="single"/>
        </w:rPr>
        <w:t>Figure 13 – Percentage of children aged 19 years old who were looked after when they were 16 years old who were known to be in education, employment or training</w:t>
      </w:r>
    </w:p>
    <w:p w:rsidR="006A31AE" w:rsidRPr="005D0B91" w:rsidRDefault="006A31AE" w:rsidP="006A31AE">
      <w:pPr>
        <w:spacing w:after="0" w:line="276" w:lineRule="auto"/>
        <w:rPr>
          <w:rFonts w:ascii="Arial" w:eastAsia="Calibri" w:hAnsi="Arial" w:cs="Arial"/>
          <w:color w:val="000000" w:themeColor="text1"/>
          <w:sz w:val="24"/>
          <w:szCs w:val="24"/>
          <w:u w:val="single"/>
        </w:rPr>
      </w:pPr>
    </w:p>
    <w:p w:rsidR="006A31AE" w:rsidRPr="005D0B91" w:rsidRDefault="006A31AE" w:rsidP="006A31AE">
      <w:pPr>
        <w:tabs>
          <w:tab w:val="left" w:pos="5670"/>
        </w:tabs>
        <w:spacing w:after="0" w:line="276" w:lineRule="auto"/>
        <w:rPr>
          <w:rFonts w:ascii="Arial" w:eastAsia="Calibri" w:hAnsi="Arial" w:cs="Arial"/>
          <w:color w:val="000000" w:themeColor="text1"/>
        </w:rPr>
      </w:pPr>
      <w:r w:rsidRPr="005D0B91">
        <w:rPr>
          <w:rFonts w:ascii="Arial" w:eastAsia="Calibri" w:hAnsi="Arial" w:cs="Arial"/>
          <w:noProof/>
          <w:color w:val="000000" w:themeColor="text1"/>
          <w:sz w:val="24"/>
          <w:szCs w:val="24"/>
          <w:lang w:eastAsia="en-GB"/>
        </w:rPr>
        <w:drawing>
          <wp:inline distT="0" distB="0" distL="0" distR="0" wp14:anchorId="3DF39E3C" wp14:editId="460A2ECD">
            <wp:extent cx="4399280" cy="2753360"/>
            <wp:effectExtent l="0" t="0" r="1270" b="8890"/>
            <wp:docPr id="156" name="Chart 1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5"/>
              </a:graphicData>
            </a:graphic>
          </wp:inline>
        </w:drawing>
      </w:r>
    </w:p>
    <w:p w:rsidR="006A31AE" w:rsidRPr="005D0B91" w:rsidRDefault="006A31AE" w:rsidP="006A31AE">
      <w:pPr>
        <w:spacing w:after="0" w:line="276" w:lineRule="auto"/>
        <w:rPr>
          <w:rFonts w:ascii="Arial" w:eastAsia="Calibri" w:hAnsi="Arial" w:cs="Arial"/>
          <w:color w:val="000000" w:themeColor="text1"/>
          <w:sz w:val="20"/>
          <w:szCs w:val="20"/>
        </w:rPr>
      </w:pPr>
      <w:r w:rsidRPr="005D0B91">
        <w:rPr>
          <w:rFonts w:ascii="Arial" w:eastAsia="Calibri" w:hAnsi="Arial" w:cs="Arial"/>
          <w:color w:val="000000" w:themeColor="text1"/>
          <w:sz w:val="20"/>
          <w:szCs w:val="20"/>
        </w:rPr>
        <w:t>Source: DfE LAIT - Looked After Children.</w:t>
      </w:r>
    </w:p>
    <w:p w:rsidR="006A31AE" w:rsidRPr="005D0B91" w:rsidRDefault="006A31AE" w:rsidP="006A31AE">
      <w:pPr>
        <w:spacing w:after="0" w:line="276" w:lineRule="auto"/>
        <w:rPr>
          <w:rFonts w:ascii="Arial" w:eastAsia="Calibri" w:hAnsi="Arial" w:cs="Arial"/>
          <w:color w:val="000000" w:themeColor="text1"/>
          <w:sz w:val="24"/>
          <w:szCs w:val="20"/>
        </w:rPr>
      </w:pPr>
    </w:p>
    <w:p w:rsidR="006A31AE" w:rsidRPr="005D0B91" w:rsidRDefault="006A31AE" w:rsidP="006A31AE">
      <w:pPr>
        <w:spacing w:after="0" w:line="276" w:lineRule="auto"/>
        <w:rPr>
          <w:rFonts w:ascii="Arial" w:eastAsia="Calibri" w:hAnsi="Arial" w:cs="Arial"/>
          <w:color w:val="000000" w:themeColor="text1"/>
          <w:sz w:val="24"/>
          <w:szCs w:val="20"/>
        </w:rPr>
      </w:pPr>
    </w:p>
    <w:p w:rsidR="00A32784" w:rsidRPr="005D0B91" w:rsidRDefault="00A32784" w:rsidP="006A31AE">
      <w:pPr>
        <w:spacing w:after="0" w:line="276" w:lineRule="auto"/>
        <w:rPr>
          <w:rFonts w:ascii="Arial" w:eastAsia="Calibri" w:hAnsi="Arial" w:cs="Arial"/>
          <w:color w:val="000000" w:themeColor="text1"/>
          <w:sz w:val="24"/>
          <w:szCs w:val="20"/>
        </w:rPr>
      </w:pPr>
    </w:p>
    <w:p w:rsidR="00A32784" w:rsidRPr="005D0B91" w:rsidRDefault="00A32784" w:rsidP="006A31AE">
      <w:pPr>
        <w:spacing w:after="0" w:line="276" w:lineRule="auto"/>
        <w:rPr>
          <w:rFonts w:ascii="Arial" w:eastAsia="Calibri" w:hAnsi="Arial" w:cs="Arial"/>
          <w:color w:val="000000" w:themeColor="text1"/>
          <w:sz w:val="24"/>
          <w:szCs w:val="20"/>
        </w:rPr>
      </w:pPr>
    </w:p>
    <w:p w:rsidR="006A31AE" w:rsidRPr="005D0B91" w:rsidRDefault="006A31AE" w:rsidP="006A31AE">
      <w:pPr>
        <w:spacing w:after="0" w:line="276" w:lineRule="auto"/>
        <w:rPr>
          <w:rFonts w:ascii="Arial" w:eastAsia="Calibri" w:hAnsi="Arial" w:cs="Arial"/>
          <w:color w:val="000000" w:themeColor="text1"/>
          <w:sz w:val="24"/>
          <w:szCs w:val="20"/>
        </w:rPr>
      </w:pPr>
      <w:r w:rsidRPr="005D0B91">
        <w:rPr>
          <w:rFonts w:ascii="Arial" w:eastAsia="Calibri" w:hAnsi="Arial" w:cs="Arial"/>
          <w:color w:val="000000" w:themeColor="text1"/>
          <w:sz w:val="24"/>
          <w:szCs w:val="20"/>
        </w:rPr>
        <w:t>Around three quarters of care leavers were known to be in suitable accommodation</w:t>
      </w:r>
      <w:r w:rsidR="00F82D2F" w:rsidRPr="005D0B91">
        <w:rPr>
          <w:rFonts w:ascii="Arial" w:eastAsia="Calibri" w:hAnsi="Arial" w:cs="Arial"/>
          <w:color w:val="000000" w:themeColor="text1"/>
          <w:sz w:val="24"/>
          <w:szCs w:val="20"/>
        </w:rPr>
        <w:t xml:space="preserve"> on 31. March </w:t>
      </w:r>
      <w:r w:rsidRPr="005D0B91">
        <w:rPr>
          <w:rFonts w:ascii="Arial" w:eastAsia="Calibri" w:hAnsi="Arial" w:cs="Arial"/>
          <w:color w:val="000000" w:themeColor="text1"/>
          <w:sz w:val="24"/>
          <w:szCs w:val="20"/>
        </w:rPr>
        <w:t>2016, a similar proportion to 2013 and 2014.</w:t>
      </w:r>
    </w:p>
    <w:p w:rsidR="006A31AE" w:rsidRPr="005D0B91" w:rsidRDefault="006A31AE" w:rsidP="006A31AE">
      <w:pPr>
        <w:spacing w:after="0" w:line="276" w:lineRule="auto"/>
        <w:rPr>
          <w:rFonts w:ascii="Arial" w:eastAsia="Calibri" w:hAnsi="Arial" w:cs="Arial"/>
          <w:color w:val="000000" w:themeColor="text1"/>
          <w:sz w:val="24"/>
          <w:szCs w:val="20"/>
        </w:rPr>
      </w:pPr>
    </w:p>
    <w:p w:rsidR="006A31AE" w:rsidRPr="005D0B91" w:rsidRDefault="006A31AE" w:rsidP="006A31AE">
      <w:pPr>
        <w:spacing w:after="0" w:line="276" w:lineRule="auto"/>
        <w:jc w:val="both"/>
        <w:rPr>
          <w:rFonts w:ascii="Arial" w:eastAsia="Calibri" w:hAnsi="Arial" w:cs="Arial"/>
          <w:color w:val="000000" w:themeColor="text1"/>
          <w:sz w:val="24"/>
          <w:szCs w:val="24"/>
        </w:rPr>
      </w:pPr>
    </w:p>
    <w:p w:rsidR="006A31AE" w:rsidRPr="005D0B91" w:rsidRDefault="006A31AE" w:rsidP="006A31AE">
      <w:pPr>
        <w:spacing w:after="0" w:line="276" w:lineRule="auto"/>
        <w:jc w:val="both"/>
        <w:rPr>
          <w:rFonts w:ascii="Arial" w:eastAsia="Calibri" w:hAnsi="Arial" w:cs="Arial"/>
          <w:color w:val="000000" w:themeColor="text1"/>
          <w:sz w:val="24"/>
          <w:szCs w:val="24"/>
          <w:u w:val="single"/>
        </w:rPr>
      </w:pPr>
      <w:r w:rsidRPr="005D0B91">
        <w:rPr>
          <w:rFonts w:ascii="Arial" w:eastAsia="Calibri" w:hAnsi="Arial" w:cs="Arial"/>
          <w:color w:val="000000" w:themeColor="text1"/>
          <w:sz w:val="24"/>
          <w:szCs w:val="24"/>
          <w:u w:val="single"/>
        </w:rPr>
        <w:t>Figure 14 - Percentage of children aged 19 years old who were looked after when they were 16 years old who were known to be in suitable accommodation</w:t>
      </w:r>
    </w:p>
    <w:p w:rsidR="006A31AE" w:rsidRPr="005D0B91" w:rsidRDefault="006A31AE" w:rsidP="006A31AE">
      <w:pPr>
        <w:spacing w:after="0" w:line="276" w:lineRule="auto"/>
        <w:jc w:val="both"/>
        <w:rPr>
          <w:rFonts w:ascii="Arial" w:eastAsia="Calibri" w:hAnsi="Arial" w:cs="Arial"/>
          <w:color w:val="000000" w:themeColor="text1"/>
          <w:sz w:val="24"/>
          <w:szCs w:val="24"/>
        </w:rPr>
      </w:pPr>
    </w:p>
    <w:p w:rsidR="006A31AE" w:rsidRPr="005D0B91" w:rsidRDefault="006A31AE" w:rsidP="006A31AE">
      <w:pPr>
        <w:tabs>
          <w:tab w:val="left" w:pos="5670"/>
        </w:tabs>
        <w:spacing w:after="0" w:line="276" w:lineRule="auto"/>
        <w:rPr>
          <w:rFonts w:ascii="Arial" w:eastAsia="Calibri" w:hAnsi="Arial" w:cs="Arial"/>
          <w:color w:val="000000" w:themeColor="text1"/>
          <w:sz w:val="24"/>
          <w:szCs w:val="24"/>
        </w:rPr>
      </w:pPr>
      <w:r w:rsidRPr="005D0B91">
        <w:rPr>
          <w:rFonts w:ascii="Arial" w:eastAsia="Calibri" w:hAnsi="Arial" w:cs="Arial"/>
          <w:noProof/>
          <w:color w:val="000000" w:themeColor="text1"/>
          <w:sz w:val="24"/>
          <w:szCs w:val="24"/>
          <w:lang w:eastAsia="en-GB"/>
        </w:rPr>
        <w:drawing>
          <wp:inline distT="0" distB="0" distL="0" distR="0" wp14:anchorId="0FB2417F" wp14:editId="44876281">
            <wp:extent cx="4584700" cy="2755900"/>
            <wp:effectExtent l="19050" t="19050" r="25400" b="2540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a:ln>
                      <a:solidFill>
                        <a:schemeClr val="tx1"/>
                      </a:solidFill>
                    </a:ln>
                  </pic:spPr>
                </pic:pic>
              </a:graphicData>
            </a:graphic>
          </wp:inline>
        </w:drawing>
      </w:r>
      <w:r w:rsidRPr="005D0B91">
        <w:rPr>
          <w:rFonts w:ascii="Arial" w:eastAsia="Calibri" w:hAnsi="Arial" w:cs="Arial"/>
          <w:noProof/>
          <w:color w:val="000000" w:themeColor="text1"/>
          <w:sz w:val="24"/>
          <w:szCs w:val="24"/>
          <w:lang w:eastAsia="en-GB"/>
        </w:rPr>
        <w:t xml:space="preserve"> </w:t>
      </w:r>
    </w:p>
    <w:p w:rsidR="006A31AE" w:rsidRPr="005D0B91" w:rsidRDefault="006A31AE" w:rsidP="006A31AE">
      <w:pPr>
        <w:spacing w:after="0" w:line="276" w:lineRule="auto"/>
        <w:rPr>
          <w:rFonts w:ascii="Arial" w:eastAsia="Calibri" w:hAnsi="Arial" w:cs="Arial"/>
          <w:color w:val="000000" w:themeColor="text1"/>
          <w:sz w:val="20"/>
          <w:szCs w:val="20"/>
        </w:rPr>
      </w:pPr>
      <w:r w:rsidRPr="005D0B91">
        <w:rPr>
          <w:rFonts w:ascii="Arial" w:eastAsia="Calibri" w:hAnsi="Arial" w:cs="Arial"/>
          <w:color w:val="000000" w:themeColor="text1"/>
          <w:sz w:val="20"/>
          <w:szCs w:val="20"/>
        </w:rPr>
        <w:t>Source: DfE LAIT – Looked after Children.</w:t>
      </w:r>
    </w:p>
    <w:p w:rsidR="007D065D" w:rsidRPr="005D0B91" w:rsidRDefault="007D065D" w:rsidP="006A31AE">
      <w:pPr>
        <w:spacing w:after="200" w:line="276" w:lineRule="auto"/>
        <w:rPr>
          <w:rFonts w:ascii="Arial" w:eastAsia="Calibri" w:hAnsi="Arial" w:cs="Arial"/>
          <w:color w:val="000000" w:themeColor="text1"/>
          <w:sz w:val="24"/>
          <w:szCs w:val="24"/>
        </w:rPr>
      </w:pPr>
    </w:p>
    <w:p w:rsidR="007D065D" w:rsidRDefault="007D065D" w:rsidP="006A31AE">
      <w:pPr>
        <w:spacing w:after="200" w:line="276" w:lineRule="auto"/>
        <w:rPr>
          <w:rFonts w:ascii="Arial" w:eastAsia="Calibri" w:hAnsi="Arial" w:cs="Arial"/>
          <w:sz w:val="24"/>
          <w:szCs w:val="24"/>
        </w:rPr>
      </w:pPr>
    </w:p>
    <w:p w:rsidR="005D0B91" w:rsidRDefault="005D0B91" w:rsidP="006A31AE">
      <w:pPr>
        <w:spacing w:after="200" w:line="276" w:lineRule="auto"/>
        <w:rPr>
          <w:rFonts w:ascii="Arial" w:eastAsia="Calibri" w:hAnsi="Arial" w:cs="Arial"/>
          <w:sz w:val="24"/>
          <w:szCs w:val="24"/>
        </w:rPr>
      </w:pPr>
    </w:p>
    <w:p w:rsidR="005D0B91" w:rsidRPr="0006301F" w:rsidRDefault="005D0B91" w:rsidP="006A31AE">
      <w:pPr>
        <w:spacing w:after="200" w:line="276" w:lineRule="auto"/>
        <w:rPr>
          <w:rFonts w:ascii="Arial" w:eastAsia="Calibri" w:hAnsi="Arial" w:cs="Arial"/>
          <w:sz w:val="24"/>
          <w:szCs w:val="24"/>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bookmarkStart w:id="26" w:name="_Adult_safeguarding"/>
      <w:bookmarkEnd w:id="26"/>
      <w:r w:rsidRPr="006A31AE">
        <w:rPr>
          <w:rFonts w:ascii="Arial" w:eastAsia="Times New Roman" w:hAnsi="Arial" w:cs="Arial"/>
          <w:b/>
          <w:bCs/>
          <w:color w:val="701471"/>
          <w:sz w:val="28"/>
          <w:szCs w:val="24"/>
          <w:lang w:eastAsia="en-GB"/>
        </w:rPr>
        <w:t>Adult safeguarding</w:t>
      </w:r>
    </w:p>
    <w:p w:rsidR="006A31AE" w:rsidRPr="006A31AE" w:rsidRDefault="006A31AE" w:rsidP="006A31AE">
      <w:pPr>
        <w:spacing w:after="0" w:line="276" w:lineRule="auto"/>
        <w:rPr>
          <w:rFonts w:ascii="Arial" w:eastAsia="Calibri" w:hAnsi="Arial" w:cs="Arial"/>
          <w:sz w:val="24"/>
          <w:szCs w:val="24"/>
        </w:rPr>
      </w:pPr>
    </w:p>
    <w:p w:rsidR="00090B0B" w:rsidRPr="00090B0B" w:rsidRDefault="006A31AE" w:rsidP="006A31AE">
      <w:pPr>
        <w:spacing w:after="200" w:line="276" w:lineRule="auto"/>
        <w:rPr>
          <w:rFonts w:ascii="Arial" w:eastAsia="Calibri" w:hAnsi="Arial" w:cs="Arial"/>
          <w:sz w:val="24"/>
          <w:szCs w:val="24"/>
        </w:rPr>
      </w:pPr>
      <w:r w:rsidRPr="00090B0B">
        <w:rPr>
          <w:rFonts w:ascii="Arial" w:eastAsia="Calibri" w:hAnsi="Arial" w:cs="Arial"/>
          <w:sz w:val="24"/>
          <w:szCs w:val="24"/>
        </w:rPr>
        <w:t>In 201</w:t>
      </w:r>
      <w:r w:rsidR="00090B0B" w:rsidRPr="00090B0B">
        <w:rPr>
          <w:rFonts w:ascii="Arial" w:eastAsia="Calibri" w:hAnsi="Arial" w:cs="Arial"/>
          <w:sz w:val="24"/>
          <w:szCs w:val="24"/>
        </w:rPr>
        <w:t>7/2018</w:t>
      </w:r>
      <w:r w:rsidRPr="00090B0B">
        <w:rPr>
          <w:rFonts w:ascii="Arial" w:eastAsia="Calibri" w:hAnsi="Arial" w:cs="Arial"/>
          <w:sz w:val="24"/>
          <w:szCs w:val="24"/>
        </w:rPr>
        <w:t xml:space="preserve"> there were 2,</w:t>
      </w:r>
      <w:r w:rsidR="00090B0B" w:rsidRPr="00090B0B">
        <w:rPr>
          <w:rFonts w:ascii="Arial" w:eastAsia="Calibri" w:hAnsi="Arial" w:cs="Arial"/>
          <w:sz w:val="24"/>
          <w:szCs w:val="24"/>
        </w:rPr>
        <w:t xml:space="preserve">585 </w:t>
      </w:r>
      <w:r w:rsidRPr="00090B0B">
        <w:rPr>
          <w:rFonts w:ascii="Arial" w:eastAsia="Calibri" w:hAnsi="Arial" w:cs="Arial"/>
          <w:sz w:val="24"/>
          <w:szCs w:val="24"/>
        </w:rPr>
        <w:t>individuals in Croydon involved in safeguarding concerns.</w:t>
      </w:r>
      <w:r w:rsidRPr="00090B0B">
        <w:rPr>
          <w:rFonts w:ascii="Arial" w:eastAsia="Calibri" w:hAnsi="Arial" w:cs="Arial"/>
          <w:sz w:val="24"/>
          <w:szCs w:val="24"/>
          <w:vertAlign w:val="superscript"/>
        </w:rPr>
        <w:footnoteReference w:id="33"/>
      </w:r>
      <w:r w:rsidRPr="00090B0B">
        <w:rPr>
          <w:rFonts w:ascii="Arial" w:eastAsia="Calibri" w:hAnsi="Arial" w:cs="Arial"/>
          <w:sz w:val="24"/>
          <w:szCs w:val="24"/>
        </w:rPr>
        <w:t xml:space="preserve"> This number was </w:t>
      </w:r>
      <w:r w:rsidR="00090B0B" w:rsidRPr="00090B0B">
        <w:rPr>
          <w:rFonts w:ascii="Arial" w:eastAsia="Calibri" w:hAnsi="Arial" w:cs="Arial"/>
          <w:sz w:val="24"/>
          <w:szCs w:val="24"/>
        </w:rPr>
        <w:t>an increase of over 500 on the previous year’s figure of 2,056.</w:t>
      </w:r>
    </w:p>
    <w:p w:rsidR="00BB40EC" w:rsidRPr="00BB40EC" w:rsidRDefault="00BB40EC" w:rsidP="006A31AE">
      <w:pPr>
        <w:spacing w:after="200" w:line="276" w:lineRule="auto"/>
        <w:rPr>
          <w:rFonts w:ascii="Arial" w:eastAsia="Calibri" w:hAnsi="Arial" w:cs="Arial"/>
          <w:sz w:val="24"/>
          <w:szCs w:val="24"/>
        </w:rPr>
      </w:pPr>
      <w:r w:rsidRPr="00BB40EC">
        <w:rPr>
          <w:rFonts w:ascii="Arial" w:eastAsia="Calibri" w:hAnsi="Arial" w:cs="Arial"/>
          <w:sz w:val="24"/>
          <w:szCs w:val="24"/>
        </w:rPr>
        <w:t xml:space="preserve">Figure 15 highlights the vulnerability of the very elderly concerning safeguarding issues with nearly 7 in 10 </w:t>
      </w:r>
      <w:r>
        <w:rPr>
          <w:rFonts w:ascii="Arial" w:eastAsia="Calibri" w:hAnsi="Arial" w:cs="Arial"/>
          <w:sz w:val="24"/>
          <w:szCs w:val="24"/>
        </w:rPr>
        <w:t xml:space="preserve">(67.2%) </w:t>
      </w:r>
      <w:r w:rsidRPr="00BB40EC">
        <w:rPr>
          <w:rFonts w:ascii="Arial" w:eastAsia="Calibri" w:hAnsi="Arial" w:cs="Arial"/>
          <w:sz w:val="24"/>
          <w:szCs w:val="24"/>
        </w:rPr>
        <w:t>of all safeguarding enquiries being concerned with those aged 85 years and over.</w:t>
      </w:r>
    </w:p>
    <w:p w:rsidR="006A31AE" w:rsidRPr="00BB40EC" w:rsidRDefault="00BB40EC" w:rsidP="00BB40EC">
      <w:pPr>
        <w:spacing w:after="0" w:line="240" w:lineRule="auto"/>
        <w:rPr>
          <w:rFonts w:ascii="Arial" w:eastAsia="Calibri" w:hAnsi="Arial" w:cs="Arial"/>
          <w:sz w:val="24"/>
          <w:szCs w:val="24"/>
        </w:rPr>
      </w:pPr>
      <w:r w:rsidRPr="00BB40EC">
        <w:rPr>
          <w:rFonts w:ascii="Arial" w:eastAsia="Calibri" w:hAnsi="Arial" w:cs="Arial"/>
          <w:sz w:val="24"/>
          <w:szCs w:val="24"/>
        </w:rPr>
        <w:t>F</w:t>
      </w:r>
      <w:r w:rsidRPr="00BB40EC">
        <w:rPr>
          <w:rFonts w:ascii="Arial" w:eastAsia="Calibri" w:hAnsi="Arial" w:cs="Arial"/>
          <w:sz w:val="24"/>
          <w:szCs w:val="24"/>
          <w:u w:val="single"/>
        </w:rPr>
        <w:t>igure 15 – Individuals involved in Section 42 safeguarding enquiries 2017/2018</w:t>
      </w:r>
      <w:r>
        <w:rPr>
          <w:noProof/>
          <w:lang w:eastAsia="en-GB"/>
        </w:rPr>
        <w:drawing>
          <wp:inline distT="0" distB="0" distL="0" distR="0" wp14:anchorId="20596A3A" wp14:editId="2F489C5F">
            <wp:extent cx="4206875" cy="2382520"/>
            <wp:effectExtent l="0" t="0" r="3175" b="17780"/>
            <wp:docPr id="13929" name="Chart 139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6A31AE" w:rsidRPr="006A50E0" w:rsidRDefault="00090B0B" w:rsidP="00BB40EC">
      <w:pPr>
        <w:spacing w:after="0" w:line="240" w:lineRule="auto"/>
        <w:rPr>
          <w:rFonts w:ascii="Arial" w:eastAsia="Calibri" w:hAnsi="Arial" w:cs="Arial"/>
          <w:sz w:val="20"/>
          <w:szCs w:val="20"/>
        </w:rPr>
      </w:pPr>
      <w:r w:rsidRPr="006A50E0">
        <w:rPr>
          <w:rFonts w:ascii="Arial" w:eastAsia="Calibri" w:hAnsi="Arial" w:cs="Arial"/>
          <w:sz w:val="20"/>
          <w:szCs w:val="20"/>
        </w:rPr>
        <w:t>Source : SAC,</w:t>
      </w:r>
      <w:r w:rsidR="006A31AE" w:rsidRPr="006A50E0">
        <w:rPr>
          <w:rFonts w:ascii="Arial" w:eastAsia="Calibri" w:hAnsi="Arial" w:cs="Arial"/>
          <w:sz w:val="20"/>
          <w:szCs w:val="20"/>
        </w:rPr>
        <w:t>201</w:t>
      </w:r>
      <w:r w:rsidRPr="006A50E0">
        <w:rPr>
          <w:rFonts w:ascii="Arial" w:eastAsia="Calibri" w:hAnsi="Arial" w:cs="Arial"/>
          <w:sz w:val="20"/>
          <w:szCs w:val="20"/>
        </w:rPr>
        <w:t>7</w:t>
      </w:r>
      <w:r w:rsidR="006A31AE" w:rsidRPr="006A50E0">
        <w:rPr>
          <w:rFonts w:ascii="Arial" w:eastAsia="Calibri" w:hAnsi="Arial" w:cs="Arial"/>
          <w:sz w:val="20"/>
          <w:szCs w:val="20"/>
        </w:rPr>
        <w:t>/</w:t>
      </w:r>
      <w:r w:rsidRPr="006A50E0">
        <w:rPr>
          <w:rFonts w:ascii="Arial" w:eastAsia="Calibri" w:hAnsi="Arial" w:cs="Arial"/>
          <w:sz w:val="20"/>
          <w:szCs w:val="20"/>
        </w:rPr>
        <w:t xml:space="preserve">2018, Annex </w:t>
      </w:r>
      <w:r w:rsidR="00BB40EC" w:rsidRPr="006A50E0">
        <w:rPr>
          <w:rFonts w:ascii="Arial" w:eastAsia="Calibri" w:hAnsi="Arial" w:cs="Arial"/>
          <w:sz w:val="20"/>
          <w:szCs w:val="20"/>
        </w:rPr>
        <w:t>C</w:t>
      </w:r>
      <w:r w:rsidRPr="006A50E0">
        <w:rPr>
          <w:rFonts w:ascii="Arial" w:eastAsia="Calibri" w:hAnsi="Arial" w:cs="Arial"/>
          <w:sz w:val="20"/>
          <w:szCs w:val="20"/>
        </w:rPr>
        <w:t>, Table 1</w:t>
      </w:r>
    </w:p>
    <w:p w:rsidR="007D5923" w:rsidRPr="00BB40EC" w:rsidRDefault="007D5923" w:rsidP="00BB40EC">
      <w:pPr>
        <w:spacing w:after="0" w:line="240" w:lineRule="auto"/>
        <w:rPr>
          <w:rFonts w:ascii="Arial" w:eastAsia="Calibri" w:hAnsi="Arial" w:cs="Arial"/>
          <w:sz w:val="24"/>
          <w:szCs w:val="24"/>
        </w:rPr>
      </w:pPr>
    </w:p>
    <w:p w:rsidR="00E067B5" w:rsidRDefault="00E067B5" w:rsidP="00BB40EC">
      <w:pPr>
        <w:spacing w:after="0" w:line="240" w:lineRule="auto"/>
        <w:rPr>
          <w:rFonts w:ascii="Arial" w:eastAsia="Calibri" w:hAnsi="Arial" w:cs="Arial"/>
          <w:sz w:val="24"/>
          <w:szCs w:val="24"/>
        </w:rPr>
      </w:pPr>
    </w:p>
    <w:p w:rsidR="00BB40EC" w:rsidRDefault="00BB40EC" w:rsidP="00BB40EC">
      <w:pPr>
        <w:spacing w:after="0" w:line="240" w:lineRule="auto"/>
        <w:rPr>
          <w:rFonts w:ascii="Arial" w:eastAsia="Calibri" w:hAnsi="Arial" w:cs="Arial"/>
          <w:sz w:val="24"/>
          <w:szCs w:val="24"/>
        </w:rPr>
      </w:pPr>
      <w:r>
        <w:rPr>
          <w:rFonts w:ascii="Arial" w:eastAsia="Calibri" w:hAnsi="Arial" w:cs="Arial"/>
          <w:sz w:val="24"/>
          <w:szCs w:val="24"/>
        </w:rPr>
        <w:t>Table 1 shows that, b</w:t>
      </w:r>
      <w:r w:rsidR="006A31AE" w:rsidRPr="00BB40EC">
        <w:rPr>
          <w:rFonts w:ascii="Arial" w:eastAsia="Calibri" w:hAnsi="Arial" w:cs="Arial"/>
          <w:sz w:val="24"/>
          <w:szCs w:val="24"/>
        </w:rPr>
        <w:t>y far the most common type of abuse in all cases that were concluded during 201</w:t>
      </w:r>
      <w:r>
        <w:rPr>
          <w:rFonts w:ascii="Arial" w:eastAsia="Calibri" w:hAnsi="Arial" w:cs="Arial"/>
          <w:sz w:val="24"/>
          <w:szCs w:val="24"/>
        </w:rPr>
        <w:t>7/2018</w:t>
      </w:r>
      <w:r w:rsidR="006A31AE" w:rsidRPr="00BB40EC">
        <w:rPr>
          <w:rFonts w:ascii="Arial" w:eastAsia="Calibri" w:hAnsi="Arial" w:cs="Arial"/>
          <w:sz w:val="24"/>
          <w:szCs w:val="24"/>
        </w:rPr>
        <w:t xml:space="preserve"> was ‘neglect and acts of omission’ which accounted for </w:t>
      </w:r>
      <w:r>
        <w:rPr>
          <w:rFonts w:ascii="Arial" w:eastAsia="Calibri" w:hAnsi="Arial" w:cs="Arial"/>
          <w:sz w:val="24"/>
          <w:szCs w:val="24"/>
        </w:rPr>
        <w:t>27.0</w:t>
      </w:r>
      <w:r w:rsidR="006A31AE" w:rsidRPr="00BB40EC">
        <w:rPr>
          <w:rFonts w:ascii="Arial" w:eastAsia="Calibri" w:hAnsi="Arial" w:cs="Arial"/>
          <w:sz w:val="24"/>
          <w:szCs w:val="24"/>
        </w:rPr>
        <w:t>% of all abuse types. The next 3 types of abuse were</w:t>
      </w:r>
      <w:r>
        <w:rPr>
          <w:rFonts w:ascii="Arial" w:eastAsia="Calibri" w:hAnsi="Arial" w:cs="Arial"/>
          <w:sz w:val="24"/>
          <w:szCs w:val="24"/>
        </w:rPr>
        <w:t xml:space="preserve"> “financial or material” (18.4%)</w:t>
      </w:r>
      <w:r w:rsidR="0019512D">
        <w:rPr>
          <w:rFonts w:ascii="Arial" w:eastAsia="Calibri" w:hAnsi="Arial" w:cs="Arial"/>
          <w:sz w:val="24"/>
          <w:szCs w:val="24"/>
        </w:rPr>
        <w:t>,</w:t>
      </w:r>
      <w:r w:rsidR="006A31AE" w:rsidRPr="00BB40EC">
        <w:rPr>
          <w:rFonts w:ascii="Arial" w:eastAsia="Calibri" w:hAnsi="Arial" w:cs="Arial"/>
          <w:sz w:val="24"/>
          <w:szCs w:val="24"/>
        </w:rPr>
        <w:t>“physi</w:t>
      </w:r>
      <w:r>
        <w:rPr>
          <w:rFonts w:ascii="Arial" w:eastAsia="Calibri" w:hAnsi="Arial" w:cs="Arial"/>
          <w:sz w:val="24"/>
          <w:szCs w:val="24"/>
        </w:rPr>
        <w:t>cal” (17.0</w:t>
      </w:r>
      <w:r w:rsidR="006A31AE" w:rsidRPr="00BB40EC">
        <w:rPr>
          <w:rFonts w:ascii="Arial" w:eastAsia="Calibri" w:hAnsi="Arial" w:cs="Arial"/>
          <w:sz w:val="24"/>
          <w:szCs w:val="24"/>
        </w:rPr>
        <w:t>%)</w:t>
      </w:r>
      <w:r>
        <w:rPr>
          <w:rFonts w:ascii="Arial" w:eastAsia="Calibri" w:hAnsi="Arial" w:cs="Arial"/>
          <w:sz w:val="24"/>
          <w:szCs w:val="24"/>
        </w:rPr>
        <w:t xml:space="preserve"> a</w:t>
      </w:r>
      <w:r w:rsidR="006A31AE" w:rsidRPr="00BB40EC">
        <w:rPr>
          <w:rFonts w:ascii="Arial" w:eastAsia="Calibri" w:hAnsi="Arial" w:cs="Arial"/>
          <w:sz w:val="24"/>
          <w:szCs w:val="24"/>
        </w:rPr>
        <w:t>nd “psychological” (1</w:t>
      </w:r>
      <w:r>
        <w:rPr>
          <w:rFonts w:ascii="Arial" w:eastAsia="Calibri" w:hAnsi="Arial" w:cs="Arial"/>
          <w:sz w:val="24"/>
          <w:szCs w:val="24"/>
        </w:rPr>
        <w:t>4.9</w:t>
      </w:r>
      <w:r w:rsidR="0019512D">
        <w:rPr>
          <w:rFonts w:ascii="Arial" w:eastAsia="Calibri" w:hAnsi="Arial" w:cs="Arial"/>
          <w:sz w:val="24"/>
          <w:szCs w:val="24"/>
        </w:rPr>
        <w:t>%).</w:t>
      </w:r>
    </w:p>
    <w:p w:rsidR="00BB40EC" w:rsidRDefault="00BB40EC" w:rsidP="00BB40EC">
      <w:pPr>
        <w:spacing w:after="0" w:line="240" w:lineRule="auto"/>
        <w:rPr>
          <w:rFonts w:ascii="Arial" w:eastAsia="Calibri" w:hAnsi="Arial" w:cs="Arial"/>
          <w:sz w:val="24"/>
          <w:szCs w:val="24"/>
        </w:rPr>
      </w:pPr>
    </w:p>
    <w:p w:rsidR="006A31AE" w:rsidRDefault="00C369DA" w:rsidP="00BB40EC">
      <w:pPr>
        <w:spacing w:after="0" w:line="240" w:lineRule="auto"/>
        <w:rPr>
          <w:rFonts w:ascii="Arial" w:eastAsia="Calibri" w:hAnsi="Arial" w:cs="Arial"/>
          <w:sz w:val="24"/>
          <w:szCs w:val="24"/>
        </w:rPr>
      </w:pPr>
      <w:r w:rsidRPr="00C369DA">
        <w:rPr>
          <w:rFonts w:ascii="Arial" w:eastAsia="Calibri" w:hAnsi="Arial" w:cs="Arial"/>
          <w:sz w:val="24"/>
          <w:szCs w:val="24"/>
        </w:rPr>
        <w:t xml:space="preserve">Over a half of </w:t>
      </w:r>
      <w:r w:rsidR="006A31AE" w:rsidRPr="00C369DA">
        <w:rPr>
          <w:rFonts w:ascii="Arial" w:eastAsia="Calibri" w:hAnsi="Arial" w:cs="Arial"/>
          <w:sz w:val="24"/>
          <w:szCs w:val="24"/>
        </w:rPr>
        <w:t xml:space="preserve">alleged perpetrators of abuse </w:t>
      </w:r>
      <w:r w:rsidRPr="00C369DA">
        <w:rPr>
          <w:rFonts w:ascii="Arial" w:eastAsia="Calibri" w:hAnsi="Arial" w:cs="Arial"/>
          <w:sz w:val="24"/>
          <w:szCs w:val="24"/>
        </w:rPr>
        <w:t xml:space="preserve">(53.8%) </w:t>
      </w:r>
      <w:r w:rsidR="00E067B5">
        <w:rPr>
          <w:rFonts w:ascii="Arial" w:eastAsia="Calibri" w:hAnsi="Arial" w:cs="Arial"/>
          <w:sz w:val="24"/>
          <w:szCs w:val="24"/>
        </w:rPr>
        <w:t xml:space="preserve">were </w:t>
      </w:r>
      <w:r w:rsidR="006A31AE" w:rsidRPr="00C369DA">
        <w:rPr>
          <w:rFonts w:ascii="Arial" w:eastAsia="Calibri" w:hAnsi="Arial" w:cs="Arial"/>
          <w:sz w:val="24"/>
          <w:szCs w:val="24"/>
        </w:rPr>
        <w:t xml:space="preserve">individuals known to the adult at risk but not related, or relatives or family carers. </w:t>
      </w:r>
      <w:r w:rsidR="00E067B5">
        <w:rPr>
          <w:rFonts w:ascii="Arial" w:eastAsia="Calibri" w:hAnsi="Arial" w:cs="Arial"/>
          <w:sz w:val="24"/>
          <w:szCs w:val="24"/>
        </w:rPr>
        <w:t>Service providers made up 36.5% of all the alleged abuse cases in 2017/2018 with 9.6% being alleged perpetrators unknown to the individual.</w:t>
      </w:r>
    </w:p>
    <w:p w:rsidR="0019512D" w:rsidRDefault="0019512D" w:rsidP="00BB40EC">
      <w:pPr>
        <w:spacing w:after="0" w:line="240" w:lineRule="auto"/>
        <w:rPr>
          <w:rFonts w:ascii="Arial" w:eastAsia="Calibri" w:hAnsi="Arial" w:cs="Arial"/>
          <w:sz w:val="24"/>
          <w:szCs w:val="24"/>
        </w:rPr>
      </w:pPr>
    </w:p>
    <w:p w:rsidR="00E067B5" w:rsidRDefault="00E067B5" w:rsidP="00BB40EC">
      <w:pPr>
        <w:spacing w:after="0" w:line="240" w:lineRule="auto"/>
        <w:rPr>
          <w:rFonts w:ascii="Arial" w:eastAsia="Calibri" w:hAnsi="Arial" w:cs="Arial"/>
          <w:sz w:val="24"/>
          <w:szCs w:val="24"/>
        </w:rPr>
      </w:pPr>
    </w:p>
    <w:p w:rsidR="00090B0B" w:rsidRPr="00BB40EC" w:rsidRDefault="00090B0B" w:rsidP="00BB40EC">
      <w:pPr>
        <w:spacing w:after="0" w:line="240" w:lineRule="auto"/>
        <w:rPr>
          <w:rFonts w:ascii="Arial" w:eastAsia="Calibri" w:hAnsi="Arial" w:cs="Arial"/>
          <w:sz w:val="24"/>
          <w:szCs w:val="24"/>
          <w:u w:val="single"/>
        </w:rPr>
      </w:pPr>
      <w:r w:rsidRPr="00BB40EC">
        <w:rPr>
          <w:rFonts w:ascii="Arial" w:eastAsia="Calibri" w:hAnsi="Arial" w:cs="Arial"/>
          <w:sz w:val="24"/>
          <w:szCs w:val="24"/>
          <w:u w:val="single"/>
        </w:rPr>
        <w:t>Table 1 - Concluded Section 42 enquiries by type of risk</w:t>
      </w:r>
    </w:p>
    <w:tbl>
      <w:tblPr>
        <w:tblW w:w="6120" w:type="dxa"/>
        <w:tblLook w:val="04A0" w:firstRow="1" w:lastRow="0" w:firstColumn="1" w:lastColumn="0" w:noHBand="0" w:noVBand="1"/>
      </w:tblPr>
      <w:tblGrid>
        <w:gridCol w:w="3131"/>
        <w:gridCol w:w="1545"/>
        <w:gridCol w:w="1444"/>
      </w:tblGrid>
      <w:tr w:rsidR="00E067B5" w:rsidRPr="00BB40EC" w:rsidTr="00E067B5">
        <w:trPr>
          <w:trHeight w:val="527"/>
        </w:trPr>
        <w:tc>
          <w:tcPr>
            <w:tcW w:w="3131" w:type="dxa"/>
            <w:tcBorders>
              <w:top w:val="single" w:sz="4" w:space="0" w:color="auto"/>
              <w:left w:val="single" w:sz="4" w:space="0" w:color="auto"/>
              <w:bottom w:val="nil"/>
              <w:right w:val="single" w:sz="4" w:space="0" w:color="auto"/>
            </w:tcBorders>
            <w:shd w:val="clear" w:color="auto" w:fill="auto"/>
            <w:vAlign w:val="center"/>
            <w:hideMark/>
          </w:tcPr>
          <w:p w:rsidR="00090B0B" w:rsidRPr="00BB40EC" w:rsidRDefault="00090B0B" w:rsidP="00BB40EC">
            <w:pPr>
              <w:spacing w:after="0" w:line="240" w:lineRule="auto"/>
              <w:jc w:val="center"/>
              <w:rPr>
                <w:rFonts w:ascii="Arial" w:eastAsia="Times New Roman" w:hAnsi="Arial" w:cs="Arial"/>
                <w:b/>
                <w:bCs/>
                <w:lang w:eastAsia="en-GB"/>
              </w:rPr>
            </w:pPr>
            <w:r w:rsidRPr="00BB40EC">
              <w:rPr>
                <w:rFonts w:ascii="Arial" w:eastAsia="Times New Roman" w:hAnsi="Arial" w:cs="Arial"/>
                <w:b/>
                <w:bCs/>
                <w:lang w:eastAsia="en-GB"/>
              </w:rPr>
              <w:t>Type of Risk</w:t>
            </w:r>
          </w:p>
        </w:tc>
        <w:tc>
          <w:tcPr>
            <w:tcW w:w="1545" w:type="dxa"/>
            <w:tcBorders>
              <w:top w:val="single" w:sz="4" w:space="0" w:color="auto"/>
              <w:left w:val="nil"/>
              <w:bottom w:val="nil"/>
              <w:right w:val="single" w:sz="4" w:space="0" w:color="auto"/>
            </w:tcBorders>
            <w:shd w:val="clear" w:color="auto" w:fill="auto"/>
            <w:noWrap/>
            <w:vAlign w:val="center"/>
            <w:hideMark/>
          </w:tcPr>
          <w:p w:rsidR="00090B0B" w:rsidRPr="00BB40EC" w:rsidRDefault="00090B0B" w:rsidP="00BB40EC">
            <w:pPr>
              <w:spacing w:after="0" w:line="240" w:lineRule="auto"/>
              <w:jc w:val="center"/>
              <w:rPr>
                <w:rFonts w:ascii="Arial" w:eastAsia="Times New Roman" w:hAnsi="Arial" w:cs="Arial"/>
                <w:b/>
                <w:bCs/>
                <w:sz w:val="20"/>
                <w:szCs w:val="20"/>
                <w:lang w:eastAsia="en-GB"/>
              </w:rPr>
            </w:pPr>
            <w:r w:rsidRPr="00BB40EC">
              <w:rPr>
                <w:rFonts w:ascii="Arial" w:eastAsia="Times New Roman" w:hAnsi="Arial" w:cs="Arial"/>
                <w:b/>
                <w:bCs/>
                <w:sz w:val="20"/>
                <w:szCs w:val="20"/>
                <w:lang w:eastAsia="en-GB"/>
              </w:rPr>
              <w:t xml:space="preserve">Number </w:t>
            </w:r>
          </w:p>
        </w:tc>
        <w:tc>
          <w:tcPr>
            <w:tcW w:w="14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90B0B" w:rsidRPr="00BB40EC" w:rsidRDefault="00090B0B" w:rsidP="00BB40EC">
            <w:pPr>
              <w:spacing w:after="0" w:line="240" w:lineRule="auto"/>
              <w:jc w:val="center"/>
              <w:rPr>
                <w:rFonts w:ascii="Arial" w:eastAsia="Times New Roman" w:hAnsi="Arial" w:cs="Arial"/>
                <w:b/>
                <w:bCs/>
                <w:lang w:eastAsia="en-GB"/>
              </w:rPr>
            </w:pPr>
            <w:r w:rsidRPr="00BB40EC">
              <w:rPr>
                <w:rFonts w:ascii="Arial" w:eastAsia="Times New Roman" w:hAnsi="Arial" w:cs="Arial"/>
                <w:b/>
                <w:bCs/>
                <w:lang w:eastAsia="en-GB"/>
              </w:rPr>
              <w:t>%</w:t>
            </w:r>
          </w:p>
        </w:tc>
      </w:tr>
      <w:tr w:rsidR="00090B0B" w:rsidRPr="00BB40EC" w:rsidTr="00090B0B">
        <w:trPr>
          <w:trHeight w:val="285"/>
        </w:trPr>
        <w:tc>
          <w:tcPr>
            <w:tcW w:w="3131" w:type="dxa"/>
            <w:tcBorders>
              <w:top w:val="single" w:sz="4" w:space="0" w:color="auto"/>
              <w:left w:val="single" w:sz="4" w:space="0" w:color="auto"/>
              <w:bottom w:val="single" w:sz="4" w:space="0" w:color="auto"/>
              <w:right w:val="single" w:sz="4" w:space="0" w:color="auto"/>
            </w:tcBorders>
            <w:shd w:val="clear" w:color="auto" w:fill="auto"/>
            <w:hideMark/>
          </w:tcPr>
          <w:p w:rsidR="00090B0B" w:rsidRPr="00BB40EC" w:rsidRDefault="00090B0B" w:rsidP="00BB40EC">
            <w:pPr>
              <w:spacing w:after="0" w:line="240" w:lineRule="auto"/>
              <w:rPr>
                <w:rFonts w:ascii="Arial" w:eastAsia="Times New Roman" w:hAnsi="Arial" w:cs="Arial"/>
                <w:lang w:eastAsia="en-GB"/>
              </w:rPr>
            </w:pPr>
            <w:r w:rsidRPr="00BB40EC">
              <w:rPr>
                <w:rFonts w:ascii="Arial" w:eastAsia="Times New Roman" w:hAnsi="Arial" w:cs="Arial"/>
                <w:lang w:eastAsia="en-GB"/>
              </w:rPr>
              <w:t>Physical Abuse</w:t>
            </w:r>
          </w:p>
        </w:tc>
        <w:tc>
          <w:tcPr>
            <w:tcW w:w="1545" w:type="dxa"/>
            <w:tcBorders>
              <w:top w:val="single" w:sz="4" w:space="0" w:color="auto"/>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sz w:val="20"/>
                <w:szCs w:val="20"/>
                <w:lang w:eastAsia="en-GB"/>
              </w:rPr>
            </w:pPr>
            <w:r w:rsidRPr="00BB40EC">
              <w:rPr>
                <w:rFonts w:ascii="Arial" w:eastAsia="Times New Roman" w:hAnsi="Arial" w:cs="Arial"/>
                <w:sz w:val="20"/>
                <w:szCs w:val="20"/>
                <w:lang w:eastAsia="en-GB"/>
              </w:rPr>
              <w:t xml:space="preserve">120 </w:t>
            </w:r>
          </w:p>
        </w:tc>
        <w:tc>
          <w:tcPr>
            <w:tcW w:w="1444" w:type="dxa"/>
            <w:tcBorders>
              <w:top w:val="nil"/>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lang w:eastAsia="en-GB"/>
              </w:rPr>
            </w:pPr>
            <w:r w:rsidRPr="00BB40EC">
              <w:rPr>
                <w:rFonts w:ascii="Arial" w:eastAsia="Times New Roman" w:hAnsi="Arial" w:cs="Arial"/>
                <w:lang w:eastAsia="en-GB"/>
              </w:rPr>
              <w:t>17.0%</w:t>
            </w:r>
          </w:p>
        </w:tc>
      </w:tr>
      <w:tr w:rsidR="00090B0B" w:rsidRPr="00BB40EC" w:rsidTr="00090B0B">
        <w:trPr>
          <w:trHeight w:val="273"/>
        </w:trPr>
        <w:tc>
          <w:tcPr>
            <w:tcW w:w="3131" w:type="dxa"/>
            <w:tcBorders>
              <w:top w:val="nil"/>
              <w:left w:val="single" w:sz="4" w:space="0" w:color="auto"/>
              <w:bottom w:val="single" w:sz="4" w:space="0" w:color="auto"/>
              <w:right w:val="single" w:sz="4" w:space="0" w:color="auto"/>
            </w:tcBorders>
            <w:shd w:val="clear" w:color="auto" w:fill="auto"/>
            <w:hideMark/>
          </w:tcPr>
          <w:p w:rsidR="00090B0B" w:rsidRPr="00BB40EC" w:rsidRDefault="00090B0B" w:rsidP="00BB40EC">
            <w:pPr>
              <w:spacing w:after="0" w:line="240" w:lineRule="auto"/>
              <w:rPr>
                <w:rFonts w:ascii="Arial" w:eastAsia="Times New Roman" w:hAnsi="Arial" w:cs="Arial"/>
                <w:lang w:eastAsia="en-GB"/>
              </w:rPr>
            </w:pPr>
            <w:r w:rsidRPr="00BB40EC">
              <w:rPr>
                <w:rFonts w:ascii="Arial" w:eastAsia="Times New Roman" w:hAnsi="Arial" w:cs="Arial"/>
                <w:lang w:eastAsia="en-GB"/>
              </w:rPr>
              <w:t>Sexual Abuse</w:t>
            </w:r>
          </w:p>
        </w:tc>
        <w:tc>
          <w:tcPr>
            <w:tcW w:w="1545" w:type="dxa"/>
            <w:tcBorders>
              <w:top w:val="nil"/>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sz w:val="20"/>
                <w:szCs w:val="20"/>
                <w:lang w:eastAsia="en-GB"/>
              </w:rPr>
            </w:pPr>
            <w:r w:rsidRPr="00BB40EC">
              <w:rPr>
                <w:rFonts w:ascii="Arial" w:eastAsia="Times New Roman" w:hAnsi="Arial" w:cs="Arial"/>
                <w:sz w:val="20"/>
                <w:szCs w:val="20"/>
                <w:lang w:eastAsia="en-GB"/>
              </w:rPr>
              <w:t xml:space="preserve">40 </w:t>
            </w:r>
          </w:p>
        </w:tc>
        <w:tc>
          <w:tcPr>
            <w:tcW w:w="1444" w:type="dxa"/>
            <w:tcBorders>
              <w:top w:val="nil"/>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lang w:eastAsia="en-GB"/>
              </w:rPr>
            </w:pPr>
            <w:r w:rsidRPr="00BB40EC">
              <w:rPr>
                <w:rFonts w:ascii="Arial" w:eastAsia="Times New Roman" w:hAnsi="Arial" w:cs="Arial"/>
                <w:lang w:eastAsia="en-GB"/>
              </w:rPr>
              <w:t>5.7%</w:t>
            </w:r>
          </w:p>
        </w:tc>
      </w:tr>
      <w:tr w:rsidR="00090B0B" w:rsidRPr="00BB40EC" w:rsidTr="00090B0B">
        <w:trPr>
          <w:trHeight w:val="273"/>
        </w:trPr>
        <w:tc>
          <w:tcPr>
            <w:tcW w:w="3131" w:type="dxa"/>
            <w:tcBorders>
              <w:top w:val="nil"/>
              <w:left w:val="single" w:sz="4" w:space="0" w:color="auto"/>
              <w:bottom w:val="single" w:sz="4" w:space="0" w:color="auto"/>
              <w:right w:val="single" w:sz="4" w:space="0" w:color="auto"/>
            </w:tcBorders>
            <w:shd w:val="clear" w:color="auto" w:fill="auto"/>
            <w:hideMark/>
          </w:tcPr>
          <w:p w:rsidR="00090B0B" w:rsidRPr="00BB40EC" w:rsidRDefault="00090B0B" w:rsidP="00BB40EC">
            <w:pPr>
              <w:spacing w:after="0" w:line="240" w:lineRule="auto"/>
              <w:rPr>
                <w:rFonts w:ascii="Arial" w:eastAsia="Times New Roman" w:hAnsi="Arial" w:cs="Arial"/>
                <w:lang w:eastAsia="en-GB"/>
              </w:rPr>
            </w:pPr>
            <w:r w:rsidRPr="00BB40EC">
              <w:rPr>
                <w:rFonts w:ascii="Arial" w:eastAsia="Times New Roman" w:hAnsi="Arial" w:cs="Arial"/>
                <w:lang w:eastAsia="en-GB"/>
              </w:rPr>
              <w:t>Psychological Abuse</w:t>
            </w:r>
          </w:p>
        </w:tc>
        <w:tc>
          <w:tcPr>
            <w:tcW w:w="1545" w:type="dxa"/>
            <w:tcBorders>
              <w:top w:val="nil"/>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sz w:val="20"/>
                <w:szCs w:val="20"/>
                <w:lang w:eastAsia="en-GB"/>
              </w:rPr>
            </w:pPr>
            <w:r w:rsidRPr="00BB40EC">
              <w:rPr>
                <w:rFonts w:ascii="Arial" w:eastAsia="Times New Roman" w:hAnsi="Arial" w:cs="Arial"/>
                <w:sz w:val="20"/>
                <w:szCs w:val="20"/>
                <w:lang w:eastAsia="en-GB"/>
              </w:rPr>
              <w:t xml:space="preserve">105 </w:t>
            </w:r>
          </w:p>
        </w:tc>
        <w:tc>
          <w:tcPr>
            <w:tcW w:w="1444" w:type="dxa"/>
            <w:tcBorders>
              <w:top w:val="nil"/>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lang w:eastAsia="en-GB"/>
              </w:rPr>
            </w:pPr>
            <w:r w:rsidRPr="00BB40EC">
              <w:rPr>
                <w:rFonts w:ascii="Arial" w:eastAsia="Times New Roman" w:hAnsi="Arial" w:cs="Arial"/>
                <w:lang w:eastAsia="en-GB"/>
              </w:rPr>
              <w:t>14.9%</w:t>
            </w:r>
          </w:p>
        </w:tc>
      </w:tr>
      <w:tr w:rsidR="00090B0B" w:rsidRPr="00BB40EC" w:rsidTr="00090B0B">
        <w:trPr>
          <w:trHeight w:val="285"/>
        </w:trPr>
        <w:tc>
          <w:tcPr>
            <w:tcW w:w="3131" w:type="dxa"/>
            <w:tcBorders>
              <w:top w:val="nil"/>
              <w:left w:val="single" w:sz="4" w:space="0" w:color="auto"/>
              <w:bottom w:val="single" w:sz="4" w:space="0" w:color="auto"/>
              <w:right w:val="single" w:sz="4" w:space="0" w:color="auto"/>
            </w:tcBorders>
            <w:shd w:val="clear" w:color="auto" w:fill="auto"/>
            <w:hideMark/>
          </w:tcPr>
          <w:p w:rsidR="00090B0B" w:rsidRPr="00BB40EC" w:rsidRDefault="00090B0B" w:rsidP="00BB40EC">
            <w:pPr>
              <w:spacing w:after="0" w:line="240" w:lineRule="auto"/>
              <w:rPr>
                <w:rFonts w:ascii="Arial" w:eastAsia="Times New Roman" w:hAnsi="Arial" w:cs="Arial"/>
                <w:lang w:eastAsia="en-GB"/>
              </w:rPr>
            </w:pPr>
            <w:r w:rsidRPr="00BB40EC">
              <w:rPr>
                <w:rFonts w:ascii="Arial" w:eastAsia="Times New Roman" w:hAnsi="Arial" w:cs="Arial"/>
                <w:lang w:eastAsia="en-GB"/>
              </w:rPr>
              <w:t>Financial or Material Abuse</w:t>
            </w:r>
          </w:p>
        </w:tc>
        <w:tc>
          <w:tcPr>
            <w:tcW w:w="1545" w:type="dxa"/>
            <w:tcBorders>
              <w:top w:val="nil"/>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sz w:val="20"/>
                <w:szCs w:val="20"/>
                <w:lang w:eastAsia="en-GB"/>
              </w:rPr>
            </w:pPr>
            <w:r w:rsidRPr="00BB40EC">
              <w:rPr>
                <w:rFonts w:ascii="Arial" w:eastAsia="Times New Roman" w:hAnsi="Arial" w:cs="Arial"/>
                <w:sz w:val="20"/>
                <w:szCs w:val="20"/>
                <w:lang w:eastAsia="en-GB"/>
              </w:rPr>
              <w:t xml:space="preserve">130 </w:t>
            </w:r>
          </w:p>
        </w:tc>
        <w:tc>
          <w:tcPr>
            <w:tcW w:w="1444" w:type="dxa"/>
            <w:tcBorders>
              <w:top w:val="nil"/>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lang w:eastAsia="en-GB"/>
              </w:rPr>
            </w:pPr>
            <w:r w:rsidRPr="00BB40EC">
              <w:rPr>
                <w:rFonts w:ascii="Arial" w:eastAsia="Times New Roman" w:hAnsi="Arial" w:cs="Arial"/>
                <w:lang w:eastAsia="en-GB"/>
              </w:rPr>
              <w:t>18.4%</w:t>
            </w:r>
          </w:p>
        </w:tc>
      </w:tr>
      <w:tr w:rsidR="00090B0B" w:rsidRPr="00BB40EC" w:rsidTr="00090B0B">
        <w:trPr>
          <w:trHeight w:val="273"/>
        </w:trPr>
        <w:tc>
          <w:tcPr>
            <w:tcW w:w="3131" w:type="dxa"/>
            <w:tcBorders>
              <w:top w:val="nil"/>
              <w:left w:val="single" w:sz="4" w:space="0" w:color="auto"/>
              <w:bottom w:val="single" w:sz="4" w:space="0" w:color="auto"/>
              <w:right w:val="single" w:sz="4" w:space="0" w:color="auto"/>
            </w:tcBorders>
            <w:shd w:val="clear" w:color="auto" w:fill="auto"/>
            <w:hideMark/>
          </w:tcPr>
          <w:p w:rsidR="00090B0B" w:rsidRPr="00BB40EC" w:rsidRDefault="00090B0B" w:rsidP="00BB40EC">
            <w:pPr>
              <w:spacing w:after="0" w:line="240" w:lineRule="auto"/>
              <w:rPr>
                <w:rFonts w:ascii="Arial" w:eastAsia="Times New Roman" w:hAnsi="Arial" w:cs="Arial"/>
                <w:lang w:eastAsia="en-GB"/>
              </w:rPr>
            </w:pPr>
            <w:r w:rsidRPr="00BB40EC">
              <w:rPr>
                <w:rFonts w:ascii="Arial" w:eastAsia="Times New Roman" w:hAnsi="Arial" w:cs="Arial"/>
                <w:lang w:eastAsia="en-GB"/>
              </w:rPr>
              <w:t>Discriminatory Abuse</w:t>
            </w:r>
          </w:p>
        </w:tc>
        <w:tc>
          <w:tcPr>
            <w:tcW w:w="1545" w:type="dxa"/>
            <w:tcBorders>
              <w:top w:val="nil"/>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sz w:val="20"/>
                <w:szCs w:val="20"/>
                <w:lang w:eastAsia="en-GB"/>
              </w:rPr>
            </w:pPr>
            <w:r w:rsidRPr="00BB40EC">
              <w:rPr>
                <w:rFonts w:ascii="Arial" w:eastAsia="Times New Roman" w:hAnsi="Arial" w:cs="Arial"/>
                <w:sz w:val="20"/>
                <w:szCs w:val="20"/>
                <w:lang w:eastAsia="en-GB"/>
              </w:rPr>
              <w:t xml:space="preserve"> * </w:t>
            </w:r>
          </w:p>
        </w:tc>
        <w:tc>
          <w:tcPr>
            <w:tcW w:w="1444" w:type="dxa"/>
            <w:tcBorders>
              <w:top w:val="nil"/>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lang w:eastAsia="en-GB"/>
              </w:rPr>
            </w:pPr>
            <w:r w:rsidRPr="00BB40EC">
              <w:rPr>
                <w:rFonts w:ascii="Arial" w:eastAsia="Times New Roman" w:hAnsi="Arial" w:cs="Arial"/>
                <w:lang w:eastAsia="en-GB"/>
              </w:rPr>
              <w:t> </w:t>
            </w:r>
          </w:p>
        </w:tc>
      </w:tr>
      <w:tr w:rsidR="00090B0B" w:rsidRPr="00BB40EC" w:rsidTr="00090B0B">
        <w:trPr>
          <w:trHeight w:val="273"/>
        </w:trPr>
        <w:tc>
          <w:tcPr>
            <w:tcW w:w="3131" w:type="dxa"/>
            <w:tcBorders>
              <w:top w:val="nil"/>
              <w:left w:val="single" w:sz="4" w:space="0" w:color="auto"/>
              <w:bottom w:val="single" w:sz="4" w:space="0" w:color="auto"/>
              <w:right w:val="single" w:sz="4" w:space="0" w:color="auto"/>
            </w:tcBorders>
            <w:shd w:val="clear" w:color="auto" w:fill="auto"/>
            <w:hideMark/>
          </w:tcPr>
          <w:p w:rsidR="00090B0B" w:rsidRPr="00BB40EC" w:rsidRDefault="00090B0B" w:rsidP="00BB40EC">
            <w:pPr>
              <w:spacing w:after="0" w:line="240" w:lineRule="auto"/>
              <w:rPr>
                <w:rFonts w:ascii="Arial" w:eastAsia="Times New Roman" w:hAnsi="Arial" w:cs="Arial"/>
                <w:lang w:eastAsia="en-GB"/>
              </w:rPr>
            </w:pPr>
            <w:r w:rsidRPr="00BB40EC">
              <w:rPr>
                <w:rFonts w:ascii="Arial" w:eastAsia="Times New Roman" w:hAnsi="Arial" w:cs="Arial"/>
                <w:lang w:eastAsia="en-GB"/>
              </w:rPr>
              <w:t>Organisational Abuse</w:t>
            </w:r>
          </w:p>
        </w:tc>
        <w:tc>
          <w:tcPr>
            <w:tcW w:w="1545" w:type="dxa"/>
            <w:tcBorders>
              <w:top w:val="nil"/>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sz w:val="20"/>
                <w:szCs w:val="20"/>
                <w:lang w:eastAsia="en-GB"/>
              </w:rPr>
            </w:pPr>
            <w:r w:rsidRPr="00BB40EC">
              <w:rPr>
                <w:rFonts w:ascii="Arial" w:eastAsia="Times New Roman" w:hAnsi="Arial" w:cs="Arial"/>
                <w:sz w:val="20"/>
                <w:szCs w:val="20"/>
                <w:lang w:eastAsia="en-GB"/>
              </w:rPr>
              <w:t xml:space="preserve">40 </w:t>
            </w:r>
          </w:p>
        </w:tc>
        <w:tc>
          <w:tcPr>
            <w:tcW w:w="1444" w:type="dxa"/>
            <w:tcBorders>
              <w:top w:val="nil"/>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lang w:eastAsia="en-GB"/>
              </w:rPr>
            </w:pPr>
            <w:r w:rsidRPr="00BB40EC">
              <w:rPr>
                <w:rFonts w:ascii="Arial" w:eastAsia="Times New Roman" w:hAnsi="Arial" w:cs="Arial"/>
                <w:lang w:eastAsia="en-GB"/>
              </w:rPr>
              <w:t>5.7%</w:t>
            </w:r>
          </w:p>
        </w:tc>
      </w:tr>
      <w:tr w:rsidR="00090B0B" w:rsidRPr="00BB40EC" w:rsidTr="00090B0B">
        <w:trPr>
          <w:trHeight w:val="273"/>
        </w:trPr>
        <w:tc>
          <w:tcPr>
            <w:tcW w:w="3131" w:type="dxa"/>
            <w:tcBorders>
              <w:top w:val="nil"/>
              <w:left w:val="single" w:sz="4" w:space="0" w:color="auto"/>
              <w:bottom w:val="single" w:sz="4" w:space="0" w:color="auto"/>
              <w:right w:val="single" w:sz="4" w:space="0" w:color="auto"/>
            </w:tcBorders>
            <w:shd w:val="clear" w:color="auto" w:fill="auto"/>
            <w:hideMark/>
          </w:tcPr>
          <w:p w:rsidR="00090B0B" w:rsidRPr="00BB40EC" w:rsidRDefault="00090B0B" w:rsidP="00BB40EC">
            <w:pPr>
              <w:spacing w:after="0" w:line="240" w:lineRule="auto"/>
              <w:rPr>
                <w:rFonts w:ascii="Arial" w:eastAsia="Times New Roman" w:hAnsi="Arial" w:cs="Arial"/>
                <w:lang w:eastAsia="en-GB"/>
              </w:rPr>
            </w:pPr>
            <w:r w:rsidRPr="00BB40EC">
              <w:rPr>
                <w:rFonts w:ascii="Arial" w:eastAsia="Times New Roman" w:hAnsi="Arial" w:cs="Arial"/>
                <w:lang w:eastAsia="en-GB"/>
              </w:rPr>
              <w:t>Neglect and Acts of Omission</w:t>
            </w:r>
          </w:p>
        </w:tc>
        <w:tc>
          <w:tcPr>
            <w:tcW w:w="1545" w:type="dxa"/>
            <w:tcBorders>
              <w:top w:val="nil"/>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sz w:val="20"/>
                <w:szCs w:val="20"/>
                <w:lang w:eastAsia="en-GB"/>
              </w:rPr>
            </w:pPr>
            <w:r w:rsidRPr="00BB40EC">
              <w:rPr>
                <w:rFonts w:ascii="Arial" w:eastAsia="Times New Roman" w:hAnsi="Arial" w:cs="Arial"/>
                <w:sz w:val="20"/>
                <w:szCs w:val="20"/>
                <w:lang w:eastAsia="en-GB"/>
              </w:rPr>
              <w:t xml:space="preserve">190 </w:t>
            </w:r>
          </w:p>
        </w:tc>
        <w:tc>
          <w:tcPr>
            <w:tcW w:w="1444" w:type="dxa"/>
            <w:tcBorders>
              <w:top w:val="nil"/>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lang w:eastAsia="en-GB"/>
              </w:rPr>
            </w:pPr>
            <w:r w:rsidRPr="00BB40EC">
              <w:rPr>
                <w:rFonts w:ascii="Arial" w:eastAsia="Times New Roman" w:hAnsi="Arial" w:cs="Arial"/>
                <w:lang w:eastAsia="en-GB"/>
              </w:rPr>
              <w:t>27.0%</w:t>
            </w:r>
          </w:p>
        </w:tc>
      </w:tr>
      <w:tr w:rsidR="00090B0B" w:rsidRPr="00BB40EC" w:rsidTr="00090B0B">
        <w:trPr>
          <w:trHeight w:val="273"/>
        </w:trPr>
        <w:tc>
          <w:tcPr>
            <w:tcW w:w="3131" w:type="dxa"/>
            <w:tcBorders>
              <w:top w:val="nil"/>
              <w:left w:val="single" w:sz="4" w:space="0" w:color="auto"/>
              <w:bottom w:val="single" w:sz="4" w:space="0" w:color="auto"/>
              <w:right w:val="single" w:sz="4" w:space="0" w:color="auto"/>
            </w:tcBorders>
            <w:shd w:val="clear" w:color="auto" w:fill="auto"/>
            <w:hideMark/>
          </w:tcPr>
          <w:p w:rsidR="00090B0B" w:rsidRPr="00BB40EC" w:rsidRDefault="00090B0B" w:rsidP="00BB40EC">
            <w:pPr>
              <w:spacing w:after="0" w:line="240" w:lineRule="auto"/>
              <w:rPr>
                <w:rFonts w:ascii="Arial" w:eastAsia="Times New Roman" w:hAnsi="Arial" w:cs="Arial"/>
                <w:lang w:eastAsia="en-GB"/>
              </w:rPr>
            </w:pPr>
            <w:r w:rsidRPr="00BB40EC">
              <w:rPr>
                <w:rFonts w:ascii="Arial" w:eastAsia="Times New Roman" w:hAnsi="Arial" w:cs="Arial"/>
                <w:lang w:eastAsia="en-GB"/>
              </w:rPr>
              <w:t>Domestic Abuse</w:t>
            </w:r>
          </w:p>
        </w:tc>
        <w:tc>
          <w:tcPr>
            <w:tcW w:w="1545" w:type="dxa"/>
            <w:tcBorders>
              <w:top w:val="nil"/>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sz w:val="20"/>
                <w:szCs w:val="20"/>
                <w:lang w:eastAsia="en-GB"/>
              </w:rPr>
            </w:pPr>
            <w:r w:rsidRPr="00BB40EC">
              <w:rPr>
                <w:rFonts w:ascii="Arial" w:eastAsia="Times New Roman" w:hAnsi="Arial" w:cs="Arial"/>
                <w:sz w:val="20"/>
                <w:szCs w:val="20"/>
                <w:lang w:eastAsia="en-GB"/>
              </w:rPr>
              <w:t xml:space="preserve">50 </w:t>
            </w:r>
          </w:p>
        </w:tc>
        <w:tc>
          <w:tcPr>
            <w:tcW w:w="1444" w:type="dxa"/>
            <w:tcBorders>
              <w:top w:val="nil"/>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lang w:eastAsia="en-GB"/>
              </w:rPr>
            </w:pPr>
            <w:r w:rsidRPr="00BB40EC">
              <w:rPr>
                <w:rFonts w:ascii="Arial" w:eastAsia="Times New Roman" w:hAnsi="Arial" w:cs="Arial"/>
                <w:lang w:eastAsia="en-GB"/>
              </w:rPr>
              <w:t>7.1%</w:t>
            </w:r>
          </w:p>
        </w:tc>
      </w:tr>
      <w:tr w:rsidR="00090B0B" w:rsidRPr="00BB40EC" w:rsidTr="00090B0B">
        <w:trPr>
          <w:trHeight w:val="273"/>
        </w:trPr>
        <w:tc>
          <w:tcPr>
            <w:tcW w:w="3131" w:type="dxa"/>
            <w:tcBorders>
              <w:top w:val="nil"/>
              <w:left w:val="single" w:sz="4" w:space="0" w:color="auto"/>
              <w:bottom w:val="single" w:sz="4" w:space="0" w:color="auto"/>
              <w:right w:val="single" w:sz="4" w:space="0" w:color="auto"/>
            </w:tcBorders>
            <w:shd w:val="clear" w:color="auto" w:fill="auto"/>
            <w:hideMark/>
          </w:tcPr>
          <w:p w:rsidR="00090B0B" w:rsidRPr="00BB40EC" w:rsidRDefault="00090B0B" w:rsidP="00BB40EC">
            <w:pPr>
              <w:spacing w:after="0" w:line="240" w:lineRule="auto"/>
              <w:rPr>
                <w:rFonts w:ascii="Arial" w:eastAsia="Times New Roman" w:hAnsi="Arial" w:cs="Arial"/>
                <w:lang w:eastAsia="en-GB"/>
              </w:rPr>
            </w:pPr>
            <w:r w:rsidRPr="00BB40EC">
              <w:rPr>
                <w:rFonts w:ascii="Arial" w:eastAsia="Times New Roman" w:hAnsi="Arial" w:cs="Arial"/>
                <w:lang w:eastAsia="en-GB"/>
              </w:rPr>
              <w:t>Sexual Exploitation</w:t>
            </w:r>
          </w:p>
        </w:tc>
        <w:tc>
          <w:tcPr>
            <w:tcW w:w="1545" w:type="dxa"/>
            <w:tcBorders>
              <w:top w:val="nil"/>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sz w:val="20"/>
                <w:szCs w:val="20"/>
                <w:lang w:eastAsia="en-GB"/>
              </w:rPr>
            </w:pPr>
            <w:r w:rsidRPr="00BB40EC">
              <w:rPr>
                <w:rFonts w:ascii="Arial" w:eastAsia="Times New Roman" w:hAnsi="Arial" w:cs="Arial"/>
                <w:sz w:val="20"/>
                <w:szCs w:val="20"/>
                <w:lang w:eastAsia="en-GB"/>
              </w:rPr>
              <w:t xml:space="preserve">5 </w:t>
            </w:r>
          </w:p>
        </w:tc>
        <w:tc>
          <w:tcPr>
            <w:tcW w:w="1444" w:type="dxa"/>
            <w:tcBorders>
              <w:top w:val="nil"/>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lang w:eastAsia="en-GB"/>
              </w:rPr>
            </w:pPr>
            <w:r w:rsidRPr="00BB40EC">
              <w:rPr>
                <w:rFonts w:ascii="Arial" w:eastAsia="Times New Roman" w:hAnsi="Arial" w:cs="Arial"/>
                <w:lang w:eastAsia="en-GB"/>
              </w:rPr>
              <w:t>0.7%</w:t>
            </w:r>
          </w:p>
        </w:tc>
      </w:tr>
      <w:tr w:rsidR="00090B0B" w:rsidRPr="00BB40EC" w:rsidTr="00090B0B">
        <w:trPr>
          <w:trHeight w:val="273"/>
        </w:trPr>
        <w:tc>
          <w:tcPr>
            <w:tcW w:w="3131" w:type="dxa"/>
            <w:tcBorders>
              <w:top w:val="nil"/>
              <w:left w:val="single" w:sz="4" w:space="0" w:color="auto"/>
              <w:bottom w:val="single" w:sz="4" w:space="0" w:color="auto"/>
              <w:right w:val="single" w:sz="4" w:space="0" w:color="auto"/>
            </w:tcBorders>
            <w:shd w:val="clear" w:color="auto" w:fill="auto"/>
            <w:hideMark/>
          </w:tcPr>
          <w:p w:rsidR="00090B0B" w:rsidRPr="00BB40EC" w:rsidRDefault="00090B0B" w:rsidP="00BB40EC">
            <w:pPr>
              <w:spacing w:after="0" w:line="240" w:lineRule="auto"/>
              <w:rPr>
                <w:rFonts w:ascii="Arial" w:eastAsia="Times New Roman" w:hAnsi="Arial" w:cs="Arial"/>
                <w:lang w:eastAsia="en-GB"/>
              </w:rPr>
            </w:pPr>
            <w:r w:rsidRPr="00BB40EC">
              <w:rPr>
                <w:rFonts w:ascii="Arial" w:eastAsia="Times New Roman" w:hAnsi="Arial" w:cs="Arial"/>
                <w:lang w:eastAsia="en-GB"/>
              </w:rPr>
              <w:t>Modern Slavery</w:t>
            </w:r>
          </w:p>
        </w:tc>
        <w:tc>
          <w:tcPr>
            <w:tcW w:w="1545" w:type="dxa"/>
            <w:tcBorders>
              <w:top w:val="nil"/>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sz w:val="20"/>
                <w:szCs w:val="20"/>
                <w:lang w:eastAsia="en-GB"/>
              </w:rPr>
            </w:pPr>
            <w:r w:rsidRPr="00BB40EC">
              <w:rPr>
                <w:rFonts w:ascii="Arial" w:eastAsia="Times New Roman" w:hAnsi="Arial" w:cs="Arial"/>
                <w:sz w:val="20"/>
                <w:szCs w:val="20"/>
                <w:lang w:eastAsia="en-GB"/>
              </w:rPr>
              <w:t xml:space="preserve">* </w:t>
            </w:r>
          </w:p>
        </w:tc>
        <w:tc>
          <w:tcPr>
            <w:tcW w:w="1444" w:type="dxa"/>
            <w:tcBorders>
              <w:top w:val="nil"/>
              <w:left w:val="nil"/>
              <w:bottom w:val="single" w:sz="4" w:space="0" w:color="auto"/>
              <w:right w:val="single" w:sz="4" w:space="0" w:color="auto"/>
            </w:tcBorders>
            <w:shd w:val="clear" w:color="auto" w:fill="auto"/>
            <w:noWrap/>
            <w:hideMark/>
          </w:tcPr>
          <w:p w:rsidR="00090B0B" w:rsidRPr="00BB40EC" w:rsidRDefault="00090B0B" w:rsidP="00BB40EC">
            <w:pPr>
              <w:spacing w:after="0" w:line="240" w:lineRule="auto"/>
              <w:jc w:val="right"/>
              <w:rPr>
                <w:rFonts w:ascii="Arial" w:eastAsia="Times New Roman" w:hAnsi="Arial" w:cs="Arial"/>
                <w:lang w:eastAsia="en-GB"/>
              </w:rPr>
            </w:pPr>
            <w:r w:rsidRPr="00BB40EC">
              <w:rPr>
                <w:rFonts w:ascii="Arial" w:eastAsia="Times New Roman" w:hAnsi="Arial" w:cs="Arial"/>
                <w:lang w:eastAsia="en-GB"/>
              </w:rPr>
              <w:t> </w:t>
            </w:r>
          </w:p>
        </w:tc>
      </w:tr>
      <w:tr w:rsidR="00090B0B" w:rsidRPr="00090B0B" w:rsidTr="00E067B5">
        <w:trPr>
          <w:trHeight w:val="169"/>
        </w:trPr>
        <w:tc>
          <w:tcPr>
            <w:tcW w:w="3131" w:type="dxa"/>
            <w:tcBorders>
              <w:top w:val="nil"/>
              <w:left w:val="single" w:sz="4" w:space="0" w:color="auto"/>
              <w:bottom w:val="single" w:sz="4" w:space="0" w:color="auto"/>
              <w:right w:val="single" w:sz="4" w:space="0" w:color="auto"/>
            </w:tcBorders>
            <w:shd w:val="clear" w:color="auto" w:fill="auto"/>
            <w:hideMark/>
          </w:tcPr>
          <w:p w:rsidR="00090B0B" w:rsidRPr="00090B0B" w:rsidRDefault="00090B0B" w:rsidP="00090B0B">
            <w:pPr>
              <w:spacing w:after="0" w:line="240" w:lineRule="auto"/>
              <w:rPr>
                <w:rFonts w:ascii="Arial" w:eastAsia="Times New Roman" w:hAnsi="Arial" w:cs="Arial"/>
                <w:color w:val="000000"/>
                <w:lang w:eastAsia="en-GB"/>
              </w:rPr>
            </w:pPr>
            <w:r w:rsidRPr="00090B0B">
              <w:rPr>
                <w:rFonts w:ascii="Arial" w:eastAsia="Times New Roman" w:hAnsi="Arial" w:cs="Arial"/>
                <w:color w:val="000000"/>
                <w:lang w:eastAsia="en-GB"/>
              </w:rPr>
              <w:t>Self Neglect</w:t>
            </w:r>
          </w:p>
        </w:tc>
        <w:tc>
          <w:tcPr>
            <w:tcW w:w="1545" w:type="dxa"/>
            <w:tcBorders>
              <w:top w:val="nil"/>
              <w:left w:val="nil"/>
              <w:bottom w:val="single" w:sz="4" w:space="0" w:color="auto"/>
              <w:right w:val="single" w:sz="4" w:space="0" w:color="auto"/>
            </w:tcBorders>
            <w:shd w:val="clear" w:color="auto" w:fill="auto"/>
            <w:noWrap/>
            <w:hideMark/>
          </w:tcPr>
          <w:p w:rsidR="00090B0B" w:rsidRPr="00090B0B" w:rsidRDefault="00090B0B" w:rsidP="00090B0B">
            <w:pPr>
              <w:spacing w:after="0" w:line="240" w:lineRule="auto"/>
              <w:jc w:val="right"/>
              <w:rPr>
                <w:rFonts w:ascii="Arial" w:eastAsia="Times New Roman" w:hAnsi="Arial" w:cs="Arial"/>
                <w:color w:val="000000"/>
                <w:sz w:val="20"/>
                <w:szCs w:val="20"/>
                <w:lang w:eastAsia="en-GB"/>
              </w:rPr>
            </w:pPr>
            <w:r w:rsidRPr="00090B0B">
              <w:rPr>
                <w:rFonts w:ascii="Arial" w:eastAsia="Times New Roman" w:hAnsi="Arial" w:cs="Arial"/>
                <w:color w:val="000000"/>
                <w:sz w:val="20"/>
                <w:szCs w:val="20"/>
                <w:lang w:eastAsia="en-GB"/>
              </w:rPr>
              <w:t xml:space="preserve">25 </w:t>
            </w:r>
          </w:p>
        </w:tc>
        <w:tc>
          <w:tcPr>
            <w:tcW w:w="1444" w:type="dxa"/>
            <w:tcBorders>
              <w:top w:val="nil"/>
              <w:left w:val="nil"/>
              <w:bottom w:val="single" w:sz="4" w:space="0" w:color="auto"/>
              <w:right w:val="single" w:sz="4" w:space="0" w:color="auto"/>
            </w:tcBorders>
            <w:shd w:val="clear" w:color="auto" w:fill="auto"/>
            <w:noWrap/>
            <w:hideMark/>
          </w:tcPr>
          <w:p w:rsidR="00090B0B" w:rsidRPr="00090B0B" w:rsidRDefault="00090B0B" w:rsidP="00090B0B">
            <w:pPr>
              <w:spacing w:after="0" w:line="240" w:lineRule="auto"/>
              <w:jc w:val="right"/>
              <w:rPr>
                <w:rFonts w:ascii="Arial" w:eastAsia="Times New Roman" w:hAnsi="Arial" w:cs="Arial"/>
                <w:color w:val="000000"/>
                <w:lang w:eastAsia="en-GB"/>
              </w:rPr>
            </w:pPr>
            <w:r w:rsidRPr="00090B0B">
              <w:rPr>
                <w:rFonts w:ascii="Arial" w:eastAsia="Times New Roman" w:hAnsi="Arial" w:cs="Arial"/>
                <w:color w:val="000000"/>
                <w:lang w:eastAsia="en-GB"/>
              </w:rPr>
              <w:t>3.5%</w:t>
            </w:r>
          </w:p>
        </w:tc>
      </w:tr>
      <w:tr w:rsidR="00090B0B" w:rsidRPr="00090B0B" w:rsidTr="00090B0B">
        <w:trPr>
          <w:trHeight w:val="273"/>
        </w:trPr>
        <w:tc>
          <w:tcPr>
            <w:tcW w:w="3131" w:type="dxa"/>
            <w:tcBorders>
              <w:top w:val="nil"/>
              <w:left w:val="single" w:sz="4" w:space="0" w:color="auto"/>
              <w:bottom w:val="single" w:sz="4" w:space="0" w:color="auto"/>
              <w:right w:val="single" w:sz="4" w:space="0" w:color="auto"/>
            </w:tcBorders>
            <w:shd w:val="clear" w:color="auto" w:fill="auto"/>
            <w:hideMark/>
          </w:tcPr>
          <w:p w:rsidR="00090B0B" w:rsidRPr="00090B0B" w:rsidRDefault="00090B0B" w:rsidP="00090B0B">
            <w:pPr>
              <w:spacing w:after="0" w:line="240" w:lineRule="auto"/>
              <w:jc w:val="right"/>
              <w:rPr>
                <w:rFonts w:ascii="Arial" w:eastAsia="Times New Roman" w:hAnsi="Arial" w:cs="Arial"/>
                <w:color w:val="000000"/>
                <w:lang w:eastAsia="en-GB"/>
              </w:rPr>
            </w:pPr>
            <w:r w:rsidRPr="00090B0B">
              <w:rPr>
                <w:rFonts w:ascii="Arial" w:eastAsia="Times New Roman" w:hAnsi="Arial" w:cs="Arial"/>
                <w:color w:val="000000"/>
                <w:lang w:eastAsia="en-GB"/>
              </w:rPr>
              <w:t>TOTAL</w:t>
            </w:r>
          </w:p>
        </w:tc>
        <w:tc>
          <w:tcPr>
            <w:tcW w:w="1545" w:type="dxa"/>
            <w:tcBorders>
              <w:top w:val="nil"/>
              <w:left w:val="nil"/>
              <w:bottom w:val="single" w:sz="4" w:space="0" w:color="auto"/>
              <w:right w:val="single" w:sz="4" w:space="0" w:color="auto"/>
            </w:tcBorders>
            <w:shd w:val="clear" w:color="auto" w:fill="auto"/>
            <w:noWrap/>
            <w:hideMark/>
          </w:tcPr>
          <w:p w:rsidR="00090B0B" w:rsidRPr="00090B0B" w:rsidRDefault="00090B0B" w:rsidP="00090B0B">
            <w:pPr>
              <w:spacing w:after="0" w:line="240" w:lineRule="auto"/>
              <w:rPr>
                <w:rFonts w:ascii="Arial" w:eastAsia="Times New Roman" w:hAnsi="Arial" w:cs="Arial"/>
                <w:color w:val="000000"/>
                <w:lang w:eastAsia="en-GB"/>
              </w:rPr>
            </w:pPr>
            <w:r w:rsidRPr="00090B0B">
              <w:rPr>
                <w:rFonts w:ascii="Arial" w:eastAsia="Times New Roman" w:hAnsi="Arial" w:cs="Arial"/>
                <w:color w:val="000000"/>
                <w:lang w:eastAsia="en-GB"/>
              </w:rPr>
              <w:t xml:space="preserve">705 </w:t>
            </w:r>
          </w:p>
        </w:tc>
        <w:tc>
          <w:tcPr>
            <w:tcW w:w="1444" w:type="dxa"/>
            <w:tcBorders>
              <w:top w:val="nil"/>
              <w:left w:val="nil"/>
              <w:bottom w:val="single" w:sz="4" w:space="0" w:color="auto"/>
              <w:right w:val="single" w:sz="4" w:space="0" w:color="auto"/>
            </w:tcBorders>
            <w:shd w:val="clear" w:color="auto" w:fill="auto"/>
            <w:noWrap/>
            <w:hideMark/>
          </w:tcPr>
          <w:p w:rsidR="00090B0B" w:rsidRPr="00090B0B" w:rsidRDefault="00090B0B" w:rsidP="00090B0B">
            <w:pPr>
              <w:spacing w:after="0" w:line="240" w:lineRule="auto"/>
              <w:jc w:val="right"/>
              <w:rPr>
                <w:rFonts w:ascii="Arial" w:eastAsia="Times New Roman" w:hAnsi="Arial" w:cs="Arial"/>
                <w:color w:val="000000"/>
                <w:lang w:eastAsia="en-GB"/>
              </w:rPr>
            </w:pPr>
            <w:r w:rsidRPr="00090B0B">
              <w:rPr>
                <w:rFonts w:ascii="Arial" w:eastAsia="Times New Roman" w:hAnsi="Arial" w:cs="Arial"/>
                <w:color w:val="000000"/>
                <w:lang w:eastAsia="en-GB"/>
              </w:rPr>
              <w:t>100%</w:t>
            </w:r>
          </w:p>
        </w:tc>
      </w:tr>
    </w:tbl>
    <w:p w:rsidR="006A31AE" w:rsidRPr="006A50E0" w:rsidRDefault="00090B0B" w:rsidP="005D0B91">
      <w:pPr>
        <w:spacing w:before="120" w:after="0" w:line="240" w:lineRule="auto"/>
        <w:rPr>
          <w:rFonts w:ascii="Arial" w:eastAsia="Calibri" w:hAnsi="Arial" w:cs="Arial"/>
          <w:sz w:val="20"/>
          <w:szCs w:val="20"/>
        </w:rPr>
      </w:pPr>
      <w:r w:rsidRPr="006A50E0">
        <w:rPr>
          <w:rFonts w:ascii="Arial" w:eastAsia="Calibri" w:hAnsi="Arial" w:cs="Arial"/>
          <w:sz w:val="20"/>
          <w:szCs w:val="20"/>
        </w:rPr>
        <w:t>Source : SAC 2017/2018, Annex B, Table 2</w:t>
      </w:r>
    </w:p>
    <w:p w:rsidR="00BB40EC" w:rsidRDefault="00BB40EC" w:rsidP="006A31AE">
      <w:pPr>
        <w:spacing w:after="200" w:line="276" w:lineRule="auto"/>
        <w:rPr>
          <w:rFonts w:ascii="Arial" w:eastAsia="Calibri" w:hAnsi="Arial" w:cs="Arial"/>
          <w:sz w:val="24"/>
          <w:szCs w:val="24"/>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bookmarkStart w:id="27" w:name="_Adults_receiving_care"/>
      <w:bookmarkEnd w:id="27"/>
      <w:r w:rsidRPr="006A31AE">
        <w:rPr>
          <w:rFonts w:ascii="Arial" w:eastAsia="Times New Roman" w:hAnsi="Arial" w:cs="Arial"/>
          <w:b/>
          <w:bCs/>
          <w:color w:val="701471"/>
          <w:sz w:val="28"/>
          <w:szCs w:val="24"/>
          <w:lang w:eastAsia="en-GB"/>
        </w:rPr>
        <w:t>Adults receiving care</w:t>
      </w:r>
    </w:p>
    <w:p w:rsidR="006A31AE" w:rsidRPr="006A31AE" w:rsidRDefault="006A31AE" w:rsidP="006A31AE">
      <w:pPr>
        <w:spacing w:after="0" w:line="276" w:lineRule="auto"/>
        <w:rPr>
          <w:rFonts w:ascii="Arial" w:eastAsia="Calibri" w:hAnsi="Arial" w:cs="Arial"/>
          <w:sz w:val="24"/>
          <w:szCs w:val="24"/>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Requests for support</w:t>
      </w:r>
    </w:p>
    <w:p w:rsidR="006A31AE" w:rsidRPr="006A31AE" w:rsidRDefault="006A31AE" w:rsidP="006A31AE">
      <w:pPr>
        <w:spacing w:after="200" w:line="276" w:lineRule="auto"/>
        <w:rPr>
          <w:rFonts w:ascii="Arial" w:eastAsia="Calibri" w:hAnsi="Arial" w:cs="Arial"/>
          <w:sz w:val="24"/>
          <w:szCs w:val="24"/>
          <w:lang w:eastAsia="en-GB"/>
        </w:rPr>
      </w:pPr>
    </w:p>
    <w:p w:rsidR="006A31AE" w:rsidRDefault="006A31AE" w:rsidP="006A31AE">
      <w:pPr>
        <w:spacing w:after="200" w:line="276" w:lineRule="auto"/>
        <w:rPr>
          <w:rFonts w:ascii="Arial" w:eastAsia="Calibri" w:hAnsi="Arial" w:cs="Arial"/>
          <w:sz w:val="24"/>
          <w:szCs w:val="24"/>
        </w:rPr>
      </w:pPr>
      <w:r w:rsidRPr="00B73C73">
        <w:rPr>
          <w:rFonts w:ascii="Arial" w:eastAsia="Calibri" w:hAnsi="Arial" w:cs="Arial"/>
          <w:sz w:val="24"/>
          <w:szCs w:val="24"/>
        </w:rPr>
        <w:t>During 201</w:t>
      </w:r>
      <w:r w:rsidR="00820A89" w:rsidRPr="00B73C73">
        <w:rPr>
          <w:rFonts w:ascii="Arial" w:eastAsia="Calibri" w:hAnsi="Arial" w:cs="Arial"/>
          <w:sz w:val="24"/>
          <w:szCs w:val="24"/>
        </w:rPr>
        <w:t>7</w:t>
      </w:r>
      <w:r w:rsidRPr="00B73C73">
        <w:rPr>
          <w:rFonts w:ascii="Arial" w:eastAsia="Calibri" w:hAnsi="Arial" w:cs="Arial"/>
          <w:sz w:val="24"/>
          <w:szCs w:val="24"/>
        </w:rPr>
        <w:t>/</w:t>
      </w:r>
      <w:r w:rsidR="00820A89" w:rsidRPr="00B73C73">
        <w:rPr>
          <w:rFonts w:ascii="Arial" w:eastAsia="Calibri" w:hAnsi="Arial" w:cs="Arial"/>
          <w:sz w:val="24"/>
          <w:szCs w:val="24"/>
        </w:rPr>
        <w:t>2018</w:t>
      </w:r>
      <w:r w:rsidRPr="00B73C73">
        <w:rPr>
          <w:rFonts w:ascii="Arial" w:eastAsia="Calibri" w:hAnsi="Arial" w:cs="Arial"/>
          <w:sz w:val="24"/>
          <w:szCs w:val="24"/>
        </w:rPr>
        <w:t xml:space="preserve"> there were </w:t>
      </w:r>
      <w:r w:rsidR="00B73C73" w:rsidRPr="00B73C73">
        <w:rPr>
          <w:rFonts w:ascii="Arial" w:eastAsia="Calibri" w:hAnsi="Arial" w:cs="Arial"/>
          <w:sz w:val="24"/>
          <w:szCs w:val="24"/>
        </w:rPr>
        <w:t xml:space="preserve">2,185 requests for support from new clients aged 18-64 years. This was much higher than the previous year’s figure of </w:t>
      </w:r>
      <w:r w:rsidRPr="00B73C73">
        <w:rPr>
          <w:rFonts w:ascii="Arial" w:eastAsia="Calibri" w:hAnsi="Arial" w:cs="Arial"/>
          <w:sz w:val="24"/>
          <w:szCs w:val="24"/>
        </w:rPr>
        <w:t>1,505 requests</w:t>
      </w:r>
      <w:r w:rsidR="00BD153B">
        <w:rPr>
          <w:rFonts w:ascii="Arial" w:eastAsia="Calibri" w:hAnsi="Arial" w:cs="Arial"/>
          <w:sz w:val="24"/>
          <w:szCs w:val="24"/>
        </w:rPr>
        <w:t xml:space="preserve">.  </w:t>
      </w:r>
      <w:r w:rsidRPr="00B73C73">
        <w:rPr>
          <w:rFonts w:ascii="Arial" w:eastAsia="Calibri" w:hAnsi="Arial" w:cs="Arial"/>
          <w:sz w:val="24"/>
          <w:szCs w:val="24"/>
        </w:rPr>
        <w:t>Figure 16 shows the outcomes of these requests.</w:t>
      </w:r>
    </w:p>
    <w:p w:rsidR="00207388" w:rsidRDefault="006A31AE" w:rsidP="00207388">
      <w:pPr>
        <w:spacing w:after="0" w:line="240" w:lineRule="auto"/>
        <w:rPr>
          <w:noProof/>
          <w:lang w:eastAsia="en-GB"/>
        </w:rPr>
      </w:pPr>
      <w:r w:rsidRPr="00BD153B">
        <w:rPr>
          <w:rFonts w:ascii="Arial" w:eastAsia="Calibri" w:hAnsi="Arial" w:cs="Arial"/>
          <w:sz w:val="24"/>
          <w:szCs w:val="24"/>
          <w:u w:val="single"/>
        </w:rPr>
        <w:t xml:space="preserve">Figure 16 – Top </w:t>
      </w:r>
      <w:r w:rsidR="00BD153B" w:rsidRPr="00BD153B">
        <w:rPr>
          <w:rFonts w:ascii="Arial" w:eastAsia="Calibri" w:hAnsi="Arial" w:cs="Arial"/>
          <w:sz w:val="24"/>
          <w:szCs w:val="24"/>
          <w:u w:val="single"/>
        </w:rPr>
        <w:t>5</w:t>
      </w:r>
      <w:r w:rsidRPr="00BD153B">
        <w:rPr>
          <w:rFonts w:ascii="Arial" w:eastAsia="Calibri" w:hAnsi="Arial" w:cs="Arial"/>
          <w:sz w:val="24"/>
          <w:szCs w:val="24"/>
          <w:u w:val="single"/>
        </w:rPr>
        <w:t xml:space="preserve"> outcomes of requests from new clients aged 18-64 in 201</w:t>
      </w:r>
      <w:r w:rsidR="00BD153B" w:rsidRPr="00BD153B">
        <w:rPr>
          <w:rFonts w:ascii="Arial" w:eastAsia="Calibri" w:hAnsi="Arial" w:cs="Arial"/>
          <w:sz w:val="24"/>
          <w:szCs w:val="24"/>
          <w:u w:val="single"/>
        </w:rPr>
        <w:t>7/2018</w:t>
      </w:r>
      <w:r w:rsidR="00BD153B" w:rsidRPr="00BD153B">
        <w:rPr>
          <w:noProof/>
          <w:lang w:eastAsia="en-GB"/>
        </w:rPr>
        <w:t xml:space="preserve"> </w:t>
      </w:r>
    </w:p>
    <w:p w:rsidR="00207388" w:rsidRDefault="00207388" w:rsidP="00207388">
      <w:pPr>
        <w:spacing w:after="0" w:line="240" w:lineRule="auto"/>
        <w:rPr>
          <w:noProof/>
          <w:lang w:eastAsia="en-GB"/>
        </w:rPr>
      </w:pPr>
    </w:p>
    <w:p w:rsidR="006A31AE" w:rsidRPr="00207388" w:rsidRDefault="00BD153B" w:rsidP="00207388">
      <w:pPr>
        <w:spacing w:after="0" w:line="240" w:lineRule="auto"/>
        <w:rPr>
          <w:rFonts w:ascii="Arial" w:eastAsia="Calibri" w:hAnsi="Arial" w:cs="Arial"/>
          <w:sz w:val="24"/>
          <w:szCs w:val="24"/>
        </w:rPr>
      </w:pPr>
      <w:r>
        <w:rPr>
          <w:noProof/>
          <w:lang w:eastAsia="en-GB"/>
        </w:rPr>
        <w:drawing>
          <wp:inline distT="0" distB="0" distL="0" distR="0" wp14:anchorId="2454274E" wp14:editId="43024B6A">
            <wp:extent cx="4013200" cy="2631440"/>
            <wp:effectExtent l="0" t="0" r="6350" b="16510"/>
            <wp:docPr id="13940" name="Chart 1394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6A31AE" w:rsidRPr="006A50E0" w:rsidRDefault="00B73C73" w:rsidP="00207388">
      <w:pPr>
        <w:spacing w:before="120" w:after="0" w:line="240" w:lineRule="auto"/>
        <w:rPr>
          <w:rFonts w:ascii="Arial" w:eastAsia="Calibri" w:hAnsi="Arial" w:cs="Arial"/>
          <w:sz w:val="20"/>
          <w:szCs w:val="20"/>
        </w:rPr>
      </w:pPr>
      <w:r w:rsidRPr="006A50E0">
        <w:rPr>
          <w:rFonts w:ascii="Arial" w:eastAsia="Calibri" w:hAnsi="Arial" w:cs="Arial"/>
          <w:sz w:val="20"/>
          <w:szCs w:val="20"/>
        </w:rPr>
        <w:t>Source: Table 10, SALT Data Return, 2017/2018.</w:t>
      </w:r>
    </w:p>
    <w:p w:rsidR="00207388" w:rsidRDefault="00207388" w:rsidP="006A31AE">
      <w:pPr>
        <w:spacing w:after="200" w:line="276" w:lineRule="auto"/>
        <w:rPr>
          <w:rFonts w:ascii="Arial" w:eastAsia="Calibri" w:hAnsi="Arial" w:cs="Arial"/>
          <w:sz w:val="24"/>
          <w:szCs w:val="24"/>
        </w:rPr>
      </w:pPr>
    </w:p>
    <w:p w:rsidR="00207388" w:rsidRDefault="00207388" w:rsidP="006A31AE">
      <w:pPr>
        <w:spacing w:after="200" w:line="276" w:lineRule="auto"/>
        <w:rPr>
          <w:rFonts w:ascii="Arial" w:eastAsia="Calibri" w:hAnsi="Arial" w:cs="Arial"/>
          <w:sz w:val="24"/>
          <w:szCs w:val="24"/>
        </w:rPr>
      </w:pPr>
    </w:p>
    <w:p w:rsidR="006A31AE" w:rsidRPr="00B73C73" w:rsidRDefault="006A31AE" w:rsidP="006A31AE">
      <w:pPr>
        <w:spacing w:after="200" w:line="276" w:lineRule="auto"/>
        <w:rPr>
          <w:rFonts w:ascii="Arial" w:eastAsia="Calibri" w:hAnsi="Arial" w:cs="Arial"/>
          <w:sz w:val="24"/>
          <w:szCs w:val="24"/>
        </w:rPr>
      </w:pPr>
      <w:r w:rsidRPr="00B73C73">
        <w:rPr>
          <w:rFonts w:ascii="Arial" w:eastAsia="Calibri" w:hAnsi="Arial" w:cs="Arial"/>
          <w:sz w:val="24"/>
          <w:szCs w:val="24"/>
        </w:rPr>
        <w:t xml:space="preserve">Over the same period there were </w:t>
      </w:r>
      <w:r w:rsidR="00B73C73" w:rsidRPr="00B73C73">
        <w:rPr>
          <w:rFonts w:ascii="Arial" w:eastAsia="Calibri" w:hAnsi="Arial" w:cs="Arial"/>
          <w:sz w:val="24"/>
          <w:szCs w:val="24"/>
        </w:rPr>
        <w:t xml:space="preserve">4,760 requests for support from new clients aged 65 years and over.  Again, this was many more than the </w:t>
      </w:r>
      <w:r w:rsidRPr="00B73C73">
        <w:rPr>
          <w:rFonts w:ascii="Arial" w:eastAsia="Calibri" w:hAnsi="Arial" w:cs="Arial"/>
          <w:sz w:val="24"/>
          <w:szCs w:val="24"/>
        </w:rPr>
        <w:t xml:space="preserve">3,842 requests </w:t>
      </w:r>
      <w:r w:rsidR="00B73C73" w:rsidRPr="00B73C73">
        <w:rPr>
          <w:rFonts w:ascii="Arial" w:eastAsia="Calibri" w:hAnsi="Arial" w:cs="Arial"/>
          <w:sz w:val="24"/>
          <w:szCs w:val="24"/>
        </w:rPr>
        <w:t>in the previous 2016/2017 year.</w:t>
      </w:r>
      <w:r w:rsidR="00BD153B">
        <w:rPr>
          <w:rFonts w:ascii="Arial" w:eastAsia="Calibri" w:hAnsi="Arial" w:cs="Arial"/>
          <w:sz w:val="24"/>
          <w:szCs w:val="24"/>
        </w:rPr>
        <w:t xml:space="preserve">  </w:t>
      </w:r>
      <w:r w:rsidRPr="00B73C73">
        <w:rPr>
          <w:rFonts w:ascii="Arial" w:eastAsia="Calibri" w:hAnsi="Arial" w:cs="Arial"/>
          <w:sz w:val="24"/>
          <w:szCs w:val="24"/>
        </w:rPr>
        <w:t>Figure 17 shows the outcomes of these requests.</w:t>
      </w:r>
    </w:p>
    <w:p w:rsidR="006A31AE" w:rsidRDefault="006A31AE" w:rsidP="00BD153B">
      <w:pPr>
        <w:spacing w:after="0" w:line="240" w:lineRule="auto"/>
        <w:rPr>
          <w:rFonts w:ascii="Arial" w:eastAsia="Calibri" w:hAnsi="Arial" w:cs="Arial"/>
          <w:sz w:val="24"/>
          <w:szCs w:val="24"/>
          <w:u w:val="single"/>
        </w:rPr>
      </w:pPr>
      <w:r w:rsidRPr="00BD153B">
        <w:rPr>
          <w:rFonts w:ascii="Arial" w:eastAsia="Calibri" w:hAnsi="Arial" w:cs="Arial"/>
          <w:sz w:val="24"/>
          <w:szCs w:val="24"/>
          <w:u w:val="single"/>
        </w:rPr>
        <w:t xml:space="preserve">Figure 17 – Top </w:t>
      </w:r>
      <w:r w:rsidR="00BD153B" w:rsidRPr="00BD153B">
        <w:rPr>
          <w:rFonts w:ascii="Arial" w:eastAsia="Calibri" w:hAnsi="Arial" w:cs="Arial"/>
          <w:sz w:val="24"/>
          <w:szCs w:val="24"/>
          <w:u w:val="single"/>
        </w:rPr>
        <w:t>5</w:t>
      </w:r>
      <w:r w:rsidRPr="00BD153B">
        <w:rPr>
          <w:rFonts w:ascii="Arial" w:eastAsia="Calibri" w:hAnsi="Arial" w:cs="Arial"/>
          <w:sz w:val="24"/>
          <w:szCs w:val="24"/>
          <w:u w:val="single"/>
        </w:rPr>
        <w:t xml:space="preserve"> outcomes of requests from new clients aged 65 or over in 201</w:t>
      </w:r>
      <w:r w:rsidR="00BD153B" w:rsidRPr="00BD153B">
        <w:rPr>
          <w:rFonts w:ascii="Arial" w:eastAsia="Calibri" w:hAnsi="Arial" w:cs="Arial"/>
          <w:sz w:val="24"/>
          <w:szCs w:val="24"/>
          <w:u w:val="single"/>
        </w:rPr>
        <w:t>7/2018</w:t>
      </w:r>
    </w:p>
    <w:p w:rsidR="00207388" w:rsidRDefault="00207388" w:rsidP="00BD153B">
      <w:pPr>
        <w:spacing w:after="0" w:line="240" w:lineRule="auto"/>
        <w:rPr>
          <w:rFonts w:ascii="Arial" w:eastAsia="Calibri" w:hAnsi="Arial" w:cs="Arial"/>
          <w:sz w:val="24"/>
          <w:szCs w:val="24"/>
          <w:u w:val="single"/>
        </w:rPr>
      </w:pPr>
    </w:p>
    <w:p w:rsidR="00BD153B" w:rsidRDefault="00BD153B" w:rsidP="00207388">
      <w:pPr>
        <w:spacing w:after="0" w:line="240" w:lineRule="auto"/>
        <w:rPr>
          <w:rFonts w:ascii="Arial" w:eastAsia="Calibri" w:hAnsi="Arial" w:cs="Arial"/>
          <w:sz w:val="24"/>
          <w:szCs w:val="24"/>
          <w:u w:val="single"/>
        </w:rPr>
      </w:pPr>
      <w:r>
        <w:rPr>
          <w:noProof/>
          <w:lang w:eastAsia="en-GB"/>
        </w:rPr>
        <w:drawing>
          <wp:inline distT="0" distB="0" distL="0" distR="0" wp14:anchorId="3E8E1792" wp14:editId="31CFE0D0">
            <wp:extent cx="4091940" cy="2270760"/>
            <wp:effectExtent l="0" t="0" r="3810" b="15240"/>
            <wp:docPr id="13941" name="Chart 1394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6A31AE" w:rsidRPr="006A50E0" w:rsidRDefault="006A31AE" w:rsidP="00207388">
      <w:pPr>
        <w:spacing w:before="120" w:after="0" w:line="240" w:lineRule="auto"/>
        <w:rPr>
          <w:rFonts w:ascii="Arial" w:eastAsia="Calibri" w:hAnsi="Arial" w:cs="Arial"/>
          <w:sz w:val="20"/>
          <w:szCs w:val="20"/>
        </w:rPr>
      </w:pPr>
      <w:r w:rsidRPr="006A50E0">
        <w:rPr>
          <w:rFonts w:ascii="Arial" w:eastAsia="Calibri" w:hAnsi="Arial" w:cs="Arial"/>
          <w:sz w:val="20"/>
          <w:szCs w:val="20"/>
        </w:rPr>
        <w:t xml:space="preserve">Source: Table </w:t>
      </w:r>
      <w:r w:rsidR="00B73C73" w:rsidRPr="006A50E0">
        <w:rPr>
          <w:rFonts w:ascii="Arial" w:eastAsia="Calibri" w:hAnsi="Arial" w:cs="Arial"/>
          <w:sz w:val="20"/>
          <w:szCs w:val="20"/>
        </w:rPr>
        <w:t xml:space="preserve">11, </w:t>
      </w:r>
      <w:r w:rsidRPr="006A50E0">
        <w:rPr>
          <w:rFonts w:ascii="Arial" w:eastAsia="Calibri" w:hAnsi="Arial" w:cs="Arial"/>
          <w:sz w:val="20"/>
          <w:szCs w:val="20"/>
        </w:rPr>
        <w:t>SALT Data Return, 2017/</w:t>
      </w:r>
      <w:r w:rsidR="00B73C73" w:rsidRPr="006A50E0">
        <w:rPr>
          <w:rFonts w:ascii="Arial" w:eastAsia="Calibri" w:hAnsi="Arial" w:cs="Arial"/>
          <w:sz w:val="20"/>
          <w:szCs w:val="20"/>
        </w:rPr>
        <w:t>20</w:t>
      </w:r>
      <w:r w:rsidRPr="006A50E0">
        <w:rPr>
          <w:rFonts w:ascii="Arial" w:eastAsia="Calibri" w:hAnsi="Arial" w:cs="Arial"/>
          <w:sz w:val="20"/>
          <w:szCs w:val="20"/>
        </w:rPr>
        <w:t>18.</w:t>
      </w:r>
    </w:p>
    <w:p w:rsidR="006A31AE" w:rsidRDefault="006A31AE" w:rsidP="006A31AE">
      <w:pPr>
        <w:spacing w:after="200" w:line="276" w:lineRule="auto"/>
        <w:rPr>
          <w:rFonts w:ascii="Arial" w:eastAsia="Calibri" w:hAnsi="Arial" w:cs="Arial"/>
          <w:sz w:val="24"/>
          <w:szCs w:val="24"/>
        </w:rPr>
      </w:pPr>
    </w:p>
    <w:p w:rsidR="005D0B91" w:rsidRDefault="005D0B91" w:rsidP="006A31AE">
      <w:pPr>
        <w:spacing w:after="200" w:line="276" w:lineRule="auto"/>
        <w:rPr>
          <w:rFonts w:ascii="Arial" w:eastAsia="Calibri" w:hAnsi="Arial" w:cs="Arial"/>
          <w:sz w:val="24"/>
          <w:szCs w:val="24"/>
        </w:rPr>
      </w:pPr>
    </w:p>
    <w:p w:rsidR="005D0B91" w:rsidRDefault="005D0B91" w:rsidP="006A31AE">
      <w:pPr>
        <w:spacing w:after="200" w:line="276" w:lineRule="auto"/>
        <w:rPr>
          <w:rFonts w:ascii="Arial" w:eastAsia="Calibri" w:hAnsi="Arial" w:cs="Arial"/>
          <w:sz w:val="24"/>
          <w:szCs w:val="24"/>
        </w:rPr>
      </w:pPr>
    </w:p>
    <w:p w:rsidR="005D0B91" w:rsidRDefault="005D0B91" w:rsidP="006A31AE">
      <w:pPr>
        <w:spacing w:after="200" w:line="276" w:lineRule="auto"/>
        <w:rPr>
          <w:rFonts w:ascii="Arial" w:eastAsia="Calibri" w:hAnsi="Arial" w:cs="Arial"/>
          <w:sz w:val="24"/>
          <w:szCs w:val="24"/>
        </w:rPr>
      </w:pPr>
    </w:p>
    <w:p w:rsidR="005D0B91" w:rsidRDefault="005D0B91" w:rsidP="006A31AE">
      <w:pPr>
        <w:spacing w:after="200" w:line="276" w:lineRule="auto"/>
        <w:rPr>
          <w:rFonts w:ascii="Arial" w:eastAsia="Calibri" w:hAnsi="Arial" w:cs="Arial"/>
          <w:sz w:val="24"/>
          <w:szCs w:val="24"/>
        </w:rPr>
      </w:pPr>
    </w:p>
    <w:p w:rsidR="005D0B91" w:rsidRDefault="005D0B91" w:rsidP="006A31AE">
      <w:pPr>
        <w:spacing w:after="200" w:line="276" w:lineRule="auto"/>
        <w:rPr>
          <w:rFonts w:ascii="Arial" w:eastAsia="Calibri" w:hAnsi="Arial" w:cs="Arial"/>
          <w:sz w:val="24"/>
          <w:szCs w:val="24"/>
        </w:rPr>
      </w:pPr>
    </w:p>
    <w:p w:rsidR="00207388" w:rsidRDefault="005D0B91" w:rsidP="00207388">
      <w:pPr>
        <w:spacing w:after="0" w:line="240" w:lineRule="auto"/>
        <w:outlineLvl w:val="1"/>
        <w:rPr>
          <w:rFonts w:ascii="Arial" w:eastAsia="Times New Roman" w:hAnsi="Arial" w:cs="Arial"/>
          <w:b/>
          <w:bCs/>
          <w:color w:val="00B050"/>
          <w:sz w:val="28"/>
          <w:szCs w:val="24"/>
          <w:lang w:eastAsia="en-GB"/>
        </w:rPr>
      </w:pPr>
      <w:r>
        <w:rPr>
          <w:rFonts w:ascii="Arial" w:eastAsia="Times New Roman" w:hAnsi="Arial" w:cs="Arial"/>
          <w:b/>
          <w:bCs/>
          <w:color w:val="00B050"/>
          <w:sz w:val="28"/>
          <w:szCs w:val="24"/>
          <w:lang w:eastAsia="en-GB"/>
        </w:rPr>
        <w:t>S</w:t>
      </w:r>
      <w:r w:rsidR="00207388" w:rsidRPr="006A31AE">
        <w:rPr>
          <w:rFonts w:ascii="Arial" w:eastAsia="Times New Roman" w:hAnsi="Arial" w:cs="Arial"/>
          <w:b/>
          <w:bCs/>
          <w:color w:val="00B050"/>
          <w:sz w:val="28"/>
          <w:szCs w:val="24"/>
          <w:lang w:eastAsia="en-GB"/>
        </w:rPr>
        <w:t>hort-term support to maximise independence</w:t>
      </w:r>
    </w:p>
    <w:p w:rsidR="00E6008C" w:rsidRPr="006A31AE" w:rsidRDefault="00E6008C" w:rsidP="00207388">
      <w:pPr>
        <w:spacing w:after="0" w:line="240" w:lineRule="auto"/>
        <w:outlineLvl w:val="1"/>
        <w:rPr>
          <w:rFonts w:ascii="Arial" w:eastAsia="Times New Roman" w:hAnsi="Arial" w:cs="Arial"/>
          <w:b/>
          <w:bCs/>
          <w:color w:val="006600"/>
          <w:sz w:val="28"/>
          <w:szCs w:val="24"/>
          <w:lang w:eastAsia="en-GB"/>
        </w:rPr>
      </w:pPr>
    </w:p>
    <w:p w:rsidR="00207388" w:rsidRPr="00E6008C" w:rsidRDefault="006A31AE" w:rsidP="006A31AE">
      <w:pPr>
        <w:spacing w:after="200" w:line="276" w:lineRule="auto"/>
        <w:rPr>
          <w:rFonts w:ascii="Arial" w:eastAsia="Calibri" w:hAnsi="Arial" w:cs="Arial"/>
          <w:sz w:val="24"/>
          <w:szCs w:val="24"/>
        </w:rPr>
      </w:pPr>
      <w:r w:rsidRPr="00E6008C">
        <w:rPr>
          <w:rFonts w:ascii="Arial" w:eastAsia="Calibri" w:hAnsi="Arial" w:cs="Arial"/>
          <w:sz w:val="24"/>
          <w:szCs w:val="24"/>
        </w:rPr>
        <w:t xml:space="preserve">Older people clients with short term support </w:t>
      </w:r>
      <w:r w:rsidR="00E6008C" w:rsidRPr="00E6008C">
        <w:rPr>
          <w:rFonts w:ascii="Arial" w:eastAsia="Calibri" w:hAnsi="Arial" w:cs="Arial"/>
          <w:sz w:val="24"/>
          <w:szCs w:val="24"/>
        </w:rPr>
        <w:t xml:space="preserve">care </w:t>
      </w:r>
      <w:r w:rsidRPr="00E6008C">
        <w:rPr>
          <w:rFonts w:ascii="Arial" w:eastAsia="Calibri" w:hAnsi="Arial" w:cs="Arial"/>
          <w:sz w:val="24"/>
          <w:szCs w:val="24"/>
        </w:rPr>
        <w:t xml:space="preserve">to maximise their independence made up </w:t>
      </w:r>
      <w:r w:rsidR="00207388" w:rsidRPr="00E6008C">
        <w:rPr>
          <w:rFonts w:ascii="Arial" w:eastAsia="Calibri" w:hAnsi="Arial" w:cs="Arial"/>
          <w:sz w:val="24"/>
          <w:szCs w:val="24"/>
        </w:rPr>
        <w:t>one fifth (20.4%) o</w:t>
      </w:r>
      <w:r w:rsidRPr="00E6008C">
        <w:rPr>
          <w:rFonts w:ascii="Arial" w:eastAsia="Calibri" w:hAnsi="Arial" w:cs="Arial"/>
          <w:sz w:val="24"/>
          <w:szCs w:val="24"/>
        </w:rPr>
        <w:t>f the total.</w:t>
      </w:r>
      <w:r w:rsidR="00207388" w:rsidRPr="00E6008C">
        <w:rPr>
          <w:rFonts w:ascii="Arial" w:eastAsia="Calibri" w:hAnsi="Arial" w:cs="Arial"/>
          <w:sz w:val="24"/>
          <w:szCs w:val="24"/>
        </w:rPr>
        <w:t xml:space="preserve">  For new younger adult clients aged 18-64 years, short term support to maximise independence accounted for only 7.1% of the </w:t>
      </w:r>
      <w:r w:rsidR="00E6008C" w:rsidRPr="00E6008C">
        <w:rPr>
          <w:rFonts w:ascii="Arial" w:eastAsia="Calibri" w:hAnsi="Arial" w:cs="Arial"/>
          <w:sz w:val="24"/>
          <w:szCs w:val="24"/>
        </w:rPr>
        <w:t>total.</w:t>
      </w:r>
    </w:p>
    <w:p w:rsidR="006A50E0" w:rsidRPr="00E6008C" w:rsidRDefault="006A50E0" w:rsidP="006A31AE">
      <w:pPr>
        <w:spacing w:after="200" w:line="276" w:lineRule="auto"/>
        <w:rPr>
          <w:rFonts w:ascii="Arial" w:eastAsia="Calibri" w:hAnsi="Arial" w:cs="Arial"/>
          <w:sz w:val="24"/>
          <w:szCs w:val="24"/>
        </w:rPr>
      </w:pPr>
    </w:p>
    <w:p w:rsidR="00207388" w:rsidRDefault="00E6008C" w:rsidP="00E6008C">
      <w:pPr>
        <w:spacing w:after="0" w:line="240" w:lineRule="auto"/>
        <w:outlineLvl w:val="1"/>
        <w:rPr>
          <w:rFonts w:ascii="Arial" w:eastAsia="Times New Roman" w:hAnsi="Arial" w:cs="Arial"/>
          <w:b/>
          <w:bCs/>
          <w:color w:val="00B050"/>
          <w:sz w:val="28"/>
          <w:szCs w:val="24"/>
          <w:lang w:eastAsia="en-GB"/>
        </w:rPr>
      </w:pPr>
      <w:r w:rsidRPr="00E6008C">
        <w:rPr>
          <w:rFonts w:ascii="Arial" w:eastAsia="Times New Roman" w:hAnsi="Arial" w:cs="Arial"/>
          <w:b/>
          <w:bCs/>
          <w:color w:val="00B050"/>
          <w:sz w:val="28"/>
          <w:szCs w:val="24"/>
          <w:lang w:eastAsia="en-GB"/>
        </w:rPr>
        <w:t xml:space="preserve">No services </w:t>
      </w:r>
      <w:r>
        <w:rPr>
          <w:rFonts w:ascii="Arial" w:eastAsia="Times New Roman" w:hAnsi="Arial" w:cs="Arial"/>
          <w:b/>
          <w:bCs/>
          <w:color w:val="00B050"/>
          <w:sz w:val="28"/>
          <w:szCs w:val="24"/>
          <w:lang w:eastAsia="en-GB"/>
        </w:rPr>
        <w:t xml:space="preserve">or low level services </w:t>
      </w:r>
      <w:r w:rsidRPr="00E6008C">
        <w:rPr>
          <w:rFonts w:ascii="Arial" w:eastAsia="Times New Roman" w:hAnsi="Arial" w:cs="Arial"/>
          <w:b/>
          <w:bCs/>
          <w:color w:val="00B050"/>
          <w:sz w:val="28"/>
          <w:szCs w:val="24"/>
          <w:lang w:eastAsia="en-GB"/>
        </w:rPr>
        <w:t>provided</w:t>
      </w:r>
    </w:p>
    <w:p w:rsidR="00E6008C" w:rsidRDefault="00E6008C" w:rsidP="00E6008C">
      <w:pPr>
        <w:spacing w:after="0" w:line="240" w:lineRule="auto"/>
        <w:outlineLvl w:val="1"/>
        <w:rPr>
          <w:rFonts w:ascii="Arial" w:eastAsia="Times New Roman" w:hAnsi="Arial" w:cs="Arial"/>
          <w:b/>
          <w:bCs/>
          <w:color w:val="00B050"/>
          <w:sz w:val="28"/>
          <w:szCs w:val="24"/>
          <w:lang w:eastAsia="en-GB"/>
        </w:rPr>
      </w:pPr>
    </w:p>
    <w:p w:rsidR="006A31AE" w:rsidRPr="00E6008C" w:rsidRDefault="006A31AE" w:rsidP="006A31AE">
      <w:pPr>
        <w:spacing w:after="200" w:line="276" w:lineRule="auto"/>
        <w:rPr>
          <w:rFonts w:ascii="Arial" w:eastAsia="Calibri" w:hAnsi="Arial" w:cs="Arial"/>
          <w:sz w:val="24"/>
          <w:szCs w:val="24"/>
        </w:rPr>
      </w:pPr>
      <w:r w:rsidRPr="006A31AE">
        <w:rPr>
          <w:rFonts w:ascii="Arial" w:eastAsia="Calibri" w:hAnsi="Arial" w:cs="Arial"/>
          <w:color w:val="FF0000"/>
          <w:sz w:val="24"/>
          <w:szCs w:val="24"/>
        </w:rPr>
        <w:t xml:space="preserve"> </w:t>
      </w:r>
      <w:r w:rsidRPr="00E6008C">
        <w:rPr>
          <w:rFonts w:ascii="Arial" w:eastAsia="Calibri" w:hAnsi="Arial" w:cs="Arial"/>
          <w:sz w:val="24"/>
          <w:szCs w:val="24"/>
        </w:rPr>
        <w:t xml:space="preserve">No services were provided to </w:t>
      </w:r>
      <w:r w:rsidR="00207388" w:rsidRPr="00E6008C">
        <w:rPr>
          <w:rFonts w:ascii="Arial" w:eastAsia="Calibri" w:hAnsi="Arial" w:cs="Arial"/>
          <w:sz w:val="24"/>
          <w:szCs w:val="24"/>
        </w:rPr>
        <w:t>5.7</w:t>
      </w:r>
      <w:r w:rsidRPr="00E6008C">
        <w:rPr>
          <w:rFonts w:ascii="Arial" w:eastAsia="Calibri" w:hAnsi="Arial" w:cs="Arial"/>
          <w:sz w:val="24"/>
          <w:szCs w:val="24"/>
        </w:rPr>
        <w:t>% of the older aged clients (excluding the deceased)</w:t>
      </w:r>
      <w:r w:rsidR="00207388" w:rsidRPr="00E6008C">
        <w:rPr>
          <w:rFonts w:ascii="Arial" w:eastAsia="Calibri" w:hAnsi="Arial" w:cs="Arial"/>
          <w:sz w:val="24"/>
          <w:szCs w:val="24"/>
        </w:rPr>
        <w:t>.</w:t>
      </w:r>
      <w:r w:rsidRPr="00E6008C">
        <w:rPr>
          <w:rFonts w:ascii="Arial" w:eastAsia="Calibri" w:hAnsi="Arial" w:cs="Arial"/>
          <w:sz w:val="24"/>
          <w:szCs w:val="24"/>
        </w:rPr>
        <w:t xml:space="preserve"> and 3.</w:t>
      </w:r>
      <w:r w:rsidR="00E6008C" w:rsidRPr="00E6008C">
        <w:rPr>
          <w:rFonts w:ascii="Arial" w:eastAsia="Calibri" w:hAnsi="Arial" w:cs="Arial"/>
          <w:sz w:val="24"/>
          <w:szCs w:val="24"/>
        </w:rPr>
        <w:t>7% of the younger adults received no services.  Around 13.0% of younger adult clients received ongoing low level support compared to 10.8% of the  older clients (65+ yea</w:t>
      </w:r>
      <w:r w:rsidR="00E6008C">
        <w:rPr>
          <w:rFonts w:ascii="Arial" w:eastAsia="Calibri" w:hAnsi="Arial" w:cs="Arial"/>
          <w:sz w:val="24"/>
          <w:szCs w:val="24"/>
        </w:rPr>
        <w:t>r</w:t>
      </w:r>
      <w:r w:rsidR="00E6008C" w:rsidRPr="00E6008C">
        <w:rPr>
          <w:rFonts w:ascii="Arial" w:eastAsia="Calibri" w:hAnsi="Arial" w:cs="Arial"/>
          <w:sz w:val="24"/>
          <w:szCs w:val="24"/>
        </w:rPr>
        <w:t>s).</w:t>
      </w:r>
    </w:p>
    <w:p w:rsidR="006A31AE" w:rsidRDefault="006A31AE" w:rsidP="006A31AE">
      <w:pPr>
        <w:spacing w:after="0" w:line="276" w:lineRule="auto"/>
        <w:rPr>
          <w:rFonts w:ascii="Arial" w:eastAsia="Calibri" w:hAnsi="Arial" w:cs="Arial"/>
          <w:b/>
          <w:sz w:val="24"/>
          <w:szCs w:val="24"/>
        </w:rPr>
      </w:pPr>
    </w:p>
    <w:p w:rsidR="006A50E0" w:rsidRDefault="006A50E0"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Long-term support</w:t>
      </w:r>
    </w:p>
    <w:p w:rsidR="006A31AE" w:rsidRPr="000F6A4D" w:rsidRDefault="006A31AE" w:rsidP="006A31AE">
      <w:pPr>
        <w:spacing w:after="0" w:line="276" w:lineRule="auto"/>
        <w:rPr>
          <w:rFonts w:ascii="Arial" w:eastAsia="Calibri" w:hAnsi="Arial" w:cs="Arial"/>
          <w:sz w:val="24"/>
          <w:szCs w:val="24"/>
        </w:rPr>
      </w:pPr>
    </w:p>
    <w:p w:rsidR="006A31AE" w:rsidRPr="000F6A4D" w:rsidRDefault="000F6A4D" w:rsidP="006A31AE">
      <w:pPr>
        <w:spacing w:after="0" w:line="276" w:lineRule="auto"/>
        <w:rPr>
          <w:rFonts w:ascii="Arial" w:eastAsia="Calibri" w:hAnsi="Arial" w:cs="Arial"/>
          <w:sz w:val="24"/>
          <w:szCs w:val="24"/>
        </w:rPr>
      </w:pPr>
      <w:r w:rsidRPr="000F6A4D">
        <w:rPr>
          <w:rFonts w:ascii="Arial" w:eastAsia="Calibri" w:hAnsi="Arial" w:cs="Arial"/>
          <w:sz w:val="24"/>
          <w:szCs w:val="24"/>
        </w:rPr>
        <w:t xml:space="preserve">During 2017/2018, there </w:t>
      </w:r>
      <w:r w:rsidR="006A31AE" w:rsidRPr="000F6A4D">
        <w:rPr>
          <w:rFonts w:ascii="Arial" w:eastAsia="Calibri" w:hAnsi="Arial" w:cs="Arial"/>
          <w:sz w:val="24"/>
          <w:szCs w:val="24"/>
        </w:rPr>
        <w:t>were</w:t>
      </w:r>
      <w:r w:rsidRPr="000F6A4D">
        <w:rPr>
          <w:rFonts w:ascii="Arial" w:eastAsia="Calibri" w:hAnsi="Arial" w:cs="Arial"/>
          <w:sz w:val="24"/>
          <w:szCs w:val="24"/>
        </w:rPr>
        <w:t xml:space="preserve"> 2,145 clients aged 18-64 years and 3,010 clients aged 65 and over in receipt of long-term support in Croydon.  These figures are both down on the previous year when there were </w:t>
      </w:r>
      <w:r w:rsidR="006A31AE" w:rsidRPr="000F6A4D">
        <w:rPr>
          <w:rFonts w:ascii="Arial" w:eastAsia="Calibri" w:hAnsi="Arial" w:cs="Arial"/>
          <w:sz w:val="24"/>
          <w:szCs w:val="24"/>
        </w:rPr>
        <w:t>2,646 clients aged 18-64 and 4,205 clients aged 65 and over</w:t>
      </w:r>
      <w:r w:rsidRPr="000F6A4D">
        <w:rPr>
          <w:rFonts w:ascii="Arial" w:eastAsia="Calibri" w:hAnsi="Arial" w:cs="Arial"/>
          <w:sz w:val="24"/>
          <w:szCs w:val="24"/>
        </w:rPr>
        <w:t xml:space="preserve">.  </w:t>
      </w:r>
      <w:r w:rsidR="006A31AE" w:rsidRPr="000F6A4D">
        <w:rPr>
          <w:rFonts w:ascii="Arial" w:eastAsia="Calibri" w:hAnsi="Arial" w:cs="Arial"/>
          <w:sz w:val="24"/>
          <w:szCs w:val="24"/>
        </w:rPr>
        <w:t>Figures 18 and 19 show the primary support reason for these clients.</w:t>
      </w:r>
    </w:p>
    <w:p w:rsidR="00142100" w:rsidRDefault="00142100" w:rsidP="006A31AE">
      <w:pPr>
        <w:spacing w:after="0" w:line="276" w:lineRule="auto"/>
        <w:rPr>
          <w:rFonts w:ascii="Arial" w:eastAsia="Calibri" w:hAnsi="Arial" w:cs="Arial"/>
          <w:sz w:val="24"/>
          <w:szCs w:val="24"/>
          <w:u w:val="single"/>
          <w:lang w:eastAsia="en-GB"/>
        </w:rPr>
      </w:pPr>
    </w:p>
    <w:p w:rsidR="00802D4E" w:rsidRDefault="00802D4E" w:rsidP="006A31AE">
      <w:pPr>
        <w:spacing w:after="0" w:line="276" w:lineRule="auto"/>
        <w:rPr>
          <w:rFonts w:ascii="Arial" w:eastAsia="Calibri" w:hAnsi="Arial" w:cs="Arial"/>
          <w:sz w:val="24"/>
          <w:szCs w:val="24"/>
          <w:u w:val="single"/>
          <w:lang w:eastAsia="en-GB"/>
        </w:rPr>
      </w:pPr>
    </w:p>
    <w:p w:rsidR="005D0B91" w:rsidRDefault="005D0B91" w:rsidP="006A31AE">
      <w:pPr>
        <w:spacing w:after="0" w:line="276" w:lineRule="auto"/>
        <w:rPr>
          <w:rFonts w:ascii="Arial" w:eastAsia="Calibri" w:hAnsi="Arial" w:cs="Arial"/>
          <w:sz w:val="24"/>
          <w:szCs w:val="24"/>
          <w:u w:val="single"/>
          <w:lang w:eastAsia="en-GB"/>
        </w:rPr>
      </w:pPr>
    </w:p>
    <w:p w:rsidR="005D0B91" w:rsidRDefault="00802D4E" w:rsidP="006A31AE">
      <w:pPr>
        <w:spacing w:after="0" w:line="276" w:lineRule="auto"/>
        <w:rPr>
          <w:rFonts w:ascii="Arial" w:eastAsia="Calibri" w:hAnsi="Arial" w:cs="Arial"/>
          <w:sz w:val="24"/>
          <w:szCs w:val="24"/>
        </w:rPr>
      </w:pPr>
      <w:r>
        <w:rPr>
          <w:rFonts w:ascii="Arial" w:eastAsia="Calibri" w:hAnsi="Arial" w:cs="Arial"/>
          <w:sz w:val="24"/>
          <w:szCs w:val="24"/>
        </w:rPr>
        <w:t>Figure 18 shows that p</w:t>
      </w:r>
      <w:r w:rsidRPr="00BE4B74">
        <w:rPr>
          <w:rFonts w:ascii="Arial" w:eastAsia="Calibri" w:hAnsi="Arial" w:cs="Arial"/>
          <w:sz w:val="24"/>
          <w:szCs w:val="24"/>
        </w:rPr>
        <w:t>hysical support – personal care support was the primary support reason for 18.2% of clients aged 18-64</w:t>
      </w:r>
      <w:r>
        <w:rPr>
          <w:rFonts w:ascii="Arial" w:eastAsia="Calibri" w:hAnsi="Arial" w:cs="Arial"/>
          <w:sz w:val="24"/>
          <w:szCs w:val="24"/>
        </w:rPr>
        <w:t>. However, support for learning disability and mental health clients amounted to over 70% of the total support provided.</w:t>
      </w:r>
    </w:p>
    <w:p w:rsidR="00802D4E" w:rsidRDefault="00802D4E" w:rsidP="006A31AE">
      <w:pPr>
        <w:spacing w:after="0" w:line="276" w:lineRule="auto"/>
        <w:rPr>
          <w:rFonts w:ascii="Arial" w:eastAsia="Calibri" w:hAnsi="Arial" w:cs="Arial"/>
          <w:sz w:val="24"/>
          <w:szCs w:val="24"/>
        </w:rPr>
      </w:pPr>
    </w:p>
    <w:p w:rsidR="00802D4E" w:rsidRPr="000F6A4D" w:rsidRDefault="00802D4E" w:rsidP="006A31AE">
      <w:pPr>
        <w:spacing w:after="0" w:line="276" w:lineRule="auto"/>
        <w:rPr>
          <w:rFonts w:ascii="Arial" w:eastAsia="Calibri" w:hAnsi="Arial" w:cs="Arial"/>
          <w:sz w:val="24"/>
          <w:szCs w:val="24"/>
          <w:u w:val="single"/>
          <w:lang w:eastAsia="en-GB"/>
        </w:rPr>
      </w:pPr>
    </w:p>
    <w:p w:rsidR="006A31AE" w:rsidRDefault="006A31AE" w:rsidP="006A31AE">
      <w:pPr>
        <w:spacing w:after="0" w:line="276" w:lineRule="auto"/>
        <w:rPr>
          <w:rFonts w:ascii="Arial" w:eastAsia="Calibri" w:hAnsi="Arial" w:cs="Arial"/>
          <w:sz w:val="24"/>
          <w:szCs w:val="24"/>
          <w:u w:val="single"/>
          <w:lang w:eastAsia="en-GB"/>
        </w:rPr>
      </w:pPr>
      <w:r w:rsidRPr="000F6A4D">
        <w:rPr>
          <w:rFonts w:ascii="Arial" w:eastAsia="Calibri" w:hAnsi="Arial" w:cs="Arial"/>
          <w:sz w:val="24"/>
          <w:szCs w:val="24"/>
          <w:u w:val="single"/>
          <w:lang w:eastAsia="en-GB"/>
        </w:rPr>
        <w:t>Figure 18 – Primary support reason for clients aged 18-64 in receipt of long-term support</w:t>
      </w:r>
      <w:r w:rsidR="005D0B91">
        <w:rPr>
          <w:rFonts w:ascii="Arial" w:eastAsia="Calibri" w:hAnsi="Arial" w:cs="Arial"/>
          <w:sz w:val="24"/>
          <w:szCs w:val="24"/>
          <w:u w:val="single"/>
          <w:lang w:eastAsia="en-GB"/>
        </w:rPr>
        <w:t>, 2017/2018</w:t>
      </w:r>
    </w:p>
    <w:p w:rsidR="000F6A4D" w:rsidRDefault="000F6A4D" w:rsidP="006A31AE">
      <w:pPr>
        <w:spacing w:after="0" w:line="276" w:lineRule="auto"/>
        <w:rPr>
          <w:rFonts w:ascii="Arial" w:eastAsia="Calibri" w:hAnsi="Arial" w:cs="Arial"/>
          <w:sz w:val="24"/>
          <w:szCs w:val="24"/>
          <w:u w:val="single"/>
          <w:lang w:eastAsia="en-GB"/>
        </w:rPr>
      </w:pPr>
    </w:p>
    <w:p w:rsidR="000F6A4D" w:rsidRDefault="000F6A4D" w:rsidP="006A31AE">
      <w:pPr>
        <w:spacing w:after="0" w:line="276" w:lineRule="auto"/>
        <w:rPr>
          <w:rFonts w:ascii="Arial" w:eastAsia="Calibri" w:hAnsi="Arial" w:cs="Arial"/>
          <w:sz w:val="24"/>
          <w:szCs w:val="24"/>
          <w:u w:val="single"/>
          <w:lang w:eastAsia="en-GB"/>
        </w:rPr>
      </w:pPr>
      <w:r w:rsidRPr="000F6A4D">
        <w:rPr>
          <w:noProof/>
          <w:sz w:val="16"/>
          <w:szCs w:val="16"/>
          <w:lang w:eastAsia="en-GB"/>
        </w:rPr>
        <w:drawing>
          <wp:inline distT="0" distB="0" distL="0" distR="0" wp14:anchorId="1779664B" wp14:editId="46902A9D">
            <wp:extent cx="4168140" cy="2552700"/>
            <wp:effectExtent l="0" t="0" r="3810" b="0"/>
            <wp:docPr id="13943" name="Chart 1394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6A31AE" w:rsidRPr="006A50E0" w:rsidRDefault="006A31AE" w:rsidP="00061F50">
      <w:pPr>
        <w:spacing w:before="120" w:after="0" w:line="240" w:lineRule="auto"/>
        <w:rPr>
          <w:rFonts w:ascii="Arial" w:eastAsia="Calibri" w:hAnsi="Arial" w:cs="Arial"/>
          <w:sz w:val="20"/>
          <w:szCs w:val="20"/>
        </w:rPr>
      </w:pPr>
      <w:r w:rsidRPr="006A50E0">
        <w:rPr>
          <w:rFonts w:ascii="Arial" w:eastAsia="Calibri" w:hAnsi="Arial" w:cs="Arial"/>
          <w:sz w:val="20"/>
          <w:szCs w:val="20"/>
        </w:rPr>
        <w:t xml:space="preserve">Source: Table </w:t>
      </w:r>
      <w:r w:rsidR="000F6A4D" w:rsidRPr="006A50E0">
        <w:rPr>
          <w:rFonts w:ascii="Arial" w:eastAsia="Calibri" w:hAnsi="Arial" w:cs="Arial"/>
          <w:sz w:val="20"/>
          <w:szCs w:val="20"/>
        </w:rPr>
        <w:t>37,</w:t>
      </w:r>
      <w:r w:rsidRPr="006A50E0">
        <w:rPr>
          <w:rFonts w:ascii="Arial" w:eastAsia="Calibri" w:hAnsi="Arial" w:cs="Arial"/>
          <w:sz w:val="20"/>
          <w:szCs w:val="20"/>
        </w:rPr>
        <w:t xml:space="preserve"> SALT Data Return, 2017/</w:t>
      </w:r>
      <w:r w:rsidR="000F6A4D" w:rsidRPr="006A50E0">
        <w:rPr>
          <w:rFonts w:ascii="Arial" w:eastAsia="Calibri" w:hAnsi="Arial" w:cs="Arial"/>
          <w:sz w:val="20"/>
          <w:szCs w:val="20"/>
        </w:rPr>
        <w:t>20</w:t>
      </w:r>
      <w:r w:rsidRPr="006A50E0">
        <w:rPr>
          <w:rFonts w:ascii="Arial" w:eastAsia="Calibri" w:hAnsi="Arial" w:cs="Arial"/>
          <w:sz w:val="20"/>
          <w:szCs w:val="20"/>
        </w:rPr>
        <w:t>18.</w:t>
      </w:r>
    </w:p>
    <w:p w:rsidR="006A31AE" w:rsidRDefault="006A31AE" w:rsidP="006A31AE">
      <w:pPr>
        <w:spacing w:after="0" w:line="276" w:lineRule="auto"/>
        <w:rPr>
          <w:rFonts w:ascii="Arial" w:eastAsia="Calibri" w:hAnsi="Arial" w:cs="Arial"/>
          <w:sz w:val="24"/>
          <w:szCs w:val="24"/>
          <w:lang w:eastAsia="en-GB"/>
        </w:rPr>
      </w:pPr>
    </w:p>
    <w:p w:rsidR="00802D4E" w:rsidRDefault="00802D4E" w:rsidP="006A31AE">
      <w:pPr>
        <w:spacing w:after="0" w:line="276" w:lineRule="auto"/>
        <w:rPr>
          <w:rFonts w:ascii="Arial" w:eastAsia="Calibri" w:hAnsi="Arial" w:cs="Arial"/>
          <w:sz w:val="24"/>
          <w:szCs w:val="24"/>
          <w:lang w:eastAsia="en-GB"/>
        </w:rPr>
      </w:pPr>
    </w:p>
    <w:p w:rsidR="00802D4E" w:rsidRDefault="00802D4E" w:rsidP="006A31AE">
      <w:pPr>
        <w:spacing w:after="0" w:line="276" w:lineRule="auto"/>
        <w:rPr>
          <w:rFonts w:ascii="Arial" w:eastAsia="Calibri" w:hAnsi="Arial" w:cs="Arial"/>
          <w:sz w:val="24"/>
          <w:szCs w:val="24"/>
          <w:lang w:eastAsia="en-GB"/>
        </w:rPr>
      </w:pPr>
    </w:p>
    <w:p w:rsidR="005D0B91" w:rsidRDefault="005D0B91" w:rsidP="006A31AE">
      <w:pPr>
        <w:spacing w:after="0" w:line="276" w:lineRule="auto"/>
        <w:rPr>
          <w:rFonts w:ascii="Arial" w:eastAsia="Calibri" w:hAnsi="Arial" w:cs="Arial"/>
          <w:sz w:val="24"/>
          <w:szCs w:val="24"/>
          <w:lang w:eastAsia="en-GB"/>
        </w:rPr>
      </w:pPr>
    </w:p>
    <w:p w:rsidR="005D0B91" w:rsidRDefault="00802D4E" w:rsidP="006A31AE">
      <w:pPr>
        <w:spacing w:after="0" w:line="276" w:lineRule="auto"/>
        <w:rPr>
          <w:rFonts w:ascii="Arial" w:eastAsia="Calibri" w:hAnsi="Arial" w:cs="Arial"/>
          <w:sz w:val="24"/>
          <w:szCs w:val="24"/>
          <w:lang w:eastAsia="en-GB"/>
        </w:rPr>
      </w:pPr>
      <w:r>
        <w:rPr>
          <w:rFonts w:ascii="Arial" w:eastAsia="Calibri" w:hAnsi="Arial" w:cs="Arial"/>
          <w:sz w:val="24"/>
          <w:szCs w:val="24"/>
        </w:rPr>
        <w:t>Figure 19 shows that p</w:t>
      </w:r>
      <w:r w:rsidRPr="00BE4B74">
        <w:rPr>
          <w:rFonts w:ascii="Arial" w:eastAsia="Calibri" w:hAnsi="Arial" w:cs="Arial"/>
          <w:sz w:val="24"/>
          <w:szCs w:val="24"/>
        </w:rPr>
        <w:t xml:space="preserve">hysical support – personal care support was the primary support reason for </w:t>
      </w:r>
      <w:r w:rsidR="005D0B91" w:rsidRPr="00BE4B74">
        <w:rPr>
          <w:rFonts w:ascii="Arial" w:eastAsia="Calibri" w:hAnsi="Arial" w:cs="Arial"/>
          <w:sz w:val="24"/>
          <w:szCs w:val="24"/>
        </w:rPr>
        <w:t xml:space="preserve">67.1% of </w:t>
      </w:r>
      <w:r>
        <w:rPr>
          <w:rFonts w:ascii="Arial" w:eastAsia="Calibri" w:hAnsi="Arial" w:cs="Arial"/>
          <w:sz w:val="24"/>
          <w:szCs w:val="24"/>
        </w:rPr>
        <w:t xml:space="preserve">all </w:t>
      </w:r>
      <w:r w:rsidR="005D0B91" w:rsidRPr="00BE4B74">
        <w:rPr>
          <w:rFonts w:ascii="Arial" w:eastAsia="Calibri" w:hAnsi="Arial" w:cs="Arial"/>
          <w:sz w:val="24"/>
          <w:szCs w:val="24"/>
        </w:rPr>
        <w:t xml:space="preserve">clients aged 65 </w:t>
      </w:r>
      <w:r>
        <w:rPr>
          <w:rFonts w:ascii="Arial" w:eastAsia="Calibri" w:hAnsi="Arial" w:cs="Arial"/>
          <w:sz w:val="24"/>
          <w:szCs w:val="24"/>
        </w:rPr>
        <w:t xml:space="preserve">years </w:t>
      </w:r>
      <w:r w:rsidR="005D0B91" w:rsidRPr="00BE4B74">
        <w:rPr>
          <w:rFonts w:ascii="Arial" w:eastAsia="Calibri" w:hAnsi="Arial" w:cs="Arial"/>
          <w:sz w:val="24"/>
          <w:szCs w:val="24"/>
        </w:rPr>
        <w:t>and over. This was by far the most common primary support reason for all older clients in receipt of long-term support in Croydon, in London and in England.</w:t>
      </w:r>
    </w:p>
    <w:p w:rsidR="005D0B91" w:rsidRDefault="005D0B91" w:rsidP="006A31AE">
      <w:pPr>
        <w:spacing w:after="0" w:line="276" w:lineRule="auto"/>
        <w:rPr>
          <w:rFonts w:ascii="Arial" w:eastAsia="Calibri" w:hAnsi="Arial" w:cs="Arial"/>
          <w:sz w:val="24"/>
          <w:szCs w:val="24"/>
          <w:lang w:eastAsia="en-GB"/>
        </w:rPr>
      </w:pPr>
    </w:p>
    <w:p w:rsidR="006A31AE" w:rsidRPr="00E8384D" w:rsidRDefault="006A31AE" w:rsidP="006A31AE">
      <w:pPr>
        <w:spacing w:after="0" w:line="276" w:lineRule="auto"/>
        <w:rPr>
          <w:rFonts w:ascii="Arial" w:eastAsia="Calibri" w:hAnsi="Arial" w:cs="Arial"/>
          <w:sz w:val="24"/>
          <w:szCs w:val="24"/>
          <w:u w:val="single"/>
          <w:lang w:eastAsia="en-GB"/>
        </w:rPr>
      </w:pPr>
      <w:r w:rsidRPr="00E8384D">
        <w:rPr>
          <w:rFonts w:ascii="Arial" w:eastAsia="Calibri" w:hAnsi="Arial" w:cs="Arial"/>
          <w:sz w:val="24"/>
          <w:szCs w:val="24"/>
          <w:u w:val="single"/>
          <w:lang w:eastAsia="en-GB"/>
        </w:rPr>
        <w:t>Figure 19 - Primary support reason for clients aged 65 and over in receipt of long-term support</w:t>
      </w:r>
      <w:r w:rsidR="005D0B91">
        <w:rPr>
          <w:rFonts w:ascii="Arial" w:eastAsia="Calibri" w:hAnsi="Arial" w:cs="Arial"/>
          <w:sz w:val="24"/>
          <w:szCs w:val="24"/>
          <w:u w:val="single"/>
          <w:lang w:eastAsia="en-GB"/>
        </w:rPr>
        <w:t>, 2017/2018</w:t>
      </w:r>
    </w:p>
    <w:p w:rsidR="006A31AE" w:rsidRDefault="006A31AE" w:rsidP="006A31AE">
      <w:pPr>
        <w:spacing w:after="0" w:line="276" w:lineRule="auto"/>
        <w:rPr>
          <w:rFonts w:ascii="Arial" w:eastAsia="Calibri" w:hAnsi="Arial" w:cs="Arial"/>
          <w:sz w:val="24"/>
          <w:szCs w:val="24"/>
          <w:lang w:eastAsia="en-GB"/>
        </w:rPr>
      </w:pPr>
    </w:p>
    <w:p w:rsidR="00E8384D" w:rsidRDefault="00E8384D" w:rsidP="006A31AE">
      <w:pPr>
        <w:spacing w:after="0" w:line="276" w:lineRule="auto"/>
        <w:rPr>
          <w:rFonts w:ascii="Arial" w:eastAsia="Calibri" w:hAnsi="Arial" w:cs="Arial"/>
          <w:sz w:val="24"/>
          <w:szCs w:val="24"/>
          <w:lang w:eastAsia="en-GB"/>
        </w:rPr>
      </w:pPr>
      <w:r>
        <w:rPr>
          <w:noProof/>
          <w:lang w:eastAsia="en-GB"/>
        </w:rPr>
        <w:drawing>
          <wp:inline distT="0" distB="0" distL="0" distR="0" wp14:anchorId="63440550" wp14:editId="5DCA7B39">
            <wp:extent cx="3985260" cy="2758440"/>
            <wp:effectExtent l="0" t="0" r="15240" b="3810"/>
            <wp:docPr id="13944" name="Chart 139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6A31AE" w:rsidRPr="006A50E0" w:rsidRDefault="006A31AE" w:rsidP="006A31AE">
      <w:pPr>
        <w:spacing w:after="200" w:line="276" w:lineRule="auto"/>
        <w:rPr>
          <w:rFonts w:ascii="Arial" w:eastAsia="Calibri" w:hAnsi="Arial" w:cs="Arial"/>
          <w:sz w:val="20"/>
          <w:szCs w:val="20"/>
        </w:rPr>
      </w:pPr>
      <w:r w:rsidRPr="006A50E0">
        <w:rPr>
          <w:rFonts w:ascii="Arial" w:eastAsia="Calibri" w:hAnsi="Arial" w:cs="Arial"/>
          <w:sz w:val="20"/>
          <w:szCs w:val="20"/>
        </w:rPr>
        <w:t xml:space="preserve">Source: Table </w:t>
      </w:r>
      <w:r w:rsidR="00E8384D" w:rsidRPr="006A50E0">
        <w:rPr>
          <w:rFonts w:ascii="Arial" w:eastAsia="Calibri" w:hAnsi="Arial" w:cs="Arial"/>
          <w:sz w:val="20"/>
          <w:szCs w:val="20"/>
        </w:rPr>
        <w:t>37,</w:t>
      </w:r>
      <w:r w:rsidRPr="006A50E0">
        <w:rPr>
          <w:rFonts w:ascii="Arial" w:eastAsia="Calibri" w:hAnsi="Arial" w:cs="Arial"/>
          <w:sz w:val="20"/>
          <w:szCs w:val="20"/>
        </w:rPr>
        <w:t xml:space="preserve"> SALT Data Return, 2017/</w:t>
      </w:r>
      <w:r w:rsidR="00E8384D" w:rsidRPr="006A50E0">
        <w:rPr>
          <w:rFonts w:ascii="Arial" w:eastAsia="Calibri" w:hAnsi="Arial" w:cs="Arial"/>
          <w:sz w:val="20"/>
          <w:szCs w:val="20"/>
        </w:rPr>
        <w:t>20</w:t>
      </w:r>
      <w:r w:rsidRPr="006A50E0">
        <w:rPr>
          <w:rFonts w:ascii="Arial" w:eastAsia="Calibri" w:hAnsi="Arial" w:cs="Arial"/>
          <w:sz w:val="20"/>
          <w:szCs w:val="20"/>
        </w:rPr>
        <w:t>18.</w:t>
      </w:r>
    </w:p>
    <w:p w:rsidR="006A31AE" w:rsidRDefault="006A31AE" w:rsidP="006A31AE">
      <w:pPr>
        <w:spacing w:after="0" w:line="276" w:lineRule="auto"/>
        <w:rPr>
          <w:rFonts w:ascii="Arial" w:eastAsia="Calibri" w:hAnsi="Arial" w:cs="Arial"/>
          <w:sz w:val="24"/>
          <w:szCs w:val="24"/>
          <w:lang w:eastAsia="en-GB"/>
        </w:rPr>
      </w:pPr>
    </w:p>
    <w:p w:rsidR="005D0B91" w:rsidRDefault="005D0B91" w:rsidP="006A31AE">
      <w:pPr>
        <w:spacing w:after="0" w:line="276" w:lineRule="auto"/>
        <w:rPr>
          <w:rFonts w:ascii="Arial" w:eastAsia="Calibri" w:hAnsi="Arial" w:cs="Arial"/>
          <w:sz w:val="24"/>
          <w:szCs w:val="24"/>
          <w:lang w:eastAsia="en-GB"/>
        </w:rPr>
      </w:pPr>
    </w:p>
    <w:p w:rsidR="005D0B91" w:rsidRPr="00E8384D" w:rsidRDefault="005D0B91" w:rsidP="006A31AE">
      <w:pPr>
        <w:spacing w:after="0" w:line="276" w:lineRule="auto"/>
        <w:rPr>
          <w:rFonts w:ascii="Arial" w:eastAsia="Calibri" w:hAnsi="Arial" w:cs="Arial"/>
          <w:sz w:val="24"/>
          <w:szCs w:val="24"/>
          <w:lang w:eastAsia="en-GB"/>
        </w:rPr>
      </w:pPr>
    </w:p>
    <w:p w:rsidR="00802D4E" w:rsidRDefault="00802D4E" w:rsidP="006A31AE">
      <w:pPr>
        <w:spacing w:after="0" w:line="240" w:lineRule="auto"/>
        <w:outlineLvl w:val="1"/>
        <w:rPr>
          <w:rFonts w:ascii="Arial" w:eastAsia="Times New Roman" w:hAnsi="Arial" w:cs="Arial"/>
          <w:b/>
          <w:bCs/>
          <w:color w:val="00B050"/>
          <w:sz w:val="28"/>
          <w:szCs w:val="24"/>
          <w:lang w:eastAsia="en-GB"/>
        </w:rPr>
      </w:pPr>
    </w:p>
    <w:p w:rsid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Self-directed support and direct payments</w:t>
      </w:r>
    </w:p>
    <w:p w:rsidR="00020E66" w:rsidRPr="006A31AE" w:rsidRDefault="00020E66" w:rsidP="006A31AE">
      <w:pPr>
        <w:spacing w:after="0" w:line="240" w:lineRule="auto"/>
        <w:outlineLvl w:val="1"/>
        <w:rPr>
          <w:rFonts w:ascii="Arial" w:eastAsia="Times New Roman" w:hAnsi="Arial" w:cs="Arial"/>
          <w:b/>
          <w:bCs/>
          <w:color w:val="00B050"/>
          <w:sz w:val="28"/>
          <w:szCs w:val="24"/>
          <w:lang w:eastAsia="en-GB"/>
        </w:rPr>
      </w:pPr>
    </w:p>
    <w:p w:rsidR="00020E66" w:rsidRPr="00020E66" w:rsidRDefault="006A31AE" w:rsidP="006A31AE">
      <w:pPr>
        <w:spacing w:after="200" w:line="276" w:lineRule="auto"/>
        <w:rPr>
          <w:rFonts w:ascii="Arial" w:eastAsia="Calibri" w:hAnsi="Arial" w:cs="Arial"/>
          <w:sz w:val="24"/>
          <w:szCs w:val="24"/>
        </w:rPr>
      </w:pPr>
      <w:r w:rsidRPr="00020E66">
        <w:rPr>
          <w:rFonts w:ascii="Arial" w:eastAsia="Calibri" w:hAnsi="Arial" w:cs="Arial"/>
          <w:sz w:val="24"/>
          <w:szCs w:val="24"/>
        </w:rPr>
        <w:t>Only 1</w:t>
      </w:r>
      <w:r w:rsidR="00020E66" w:rsidRPr="00020E66">
        <w:rPr>
          <w:rFonts w:ascii="Arial" w:eastAsia="Calibri" w:hAnsi="Arial" w:cs="Arial"/>
          <w:sz w:val="24"/>
          <w:szCs w:val="24"/>
        </w:rPr>
        <w:t>0.</w:t>
      </w:r>
      <w:r w:rsidRPr="00020E66">
        <w:rPr>
          <w:rFonts w:ascii="Arial" w:eastAsia="Calibri" w:hAnsi="Arial" w:cs="Arial"/>
          <w:sz w:val="24"/>
          <w:szCs w:val="24"/>
        </w:rPr>
        <w:t>2% of service users in Croydon received direct payments in 201</w:t>
      </w:r>
      <w:r w:rsidR="00020E66" w:rsidRPr="00020E66">
        <w:rPr>
          <w:rFonts w:ascii="Arial" w:eastAsia="Calibri" w:hAnsi="Arial" w:cs="Arial"/>
          <w:sz w:val="24"/>
          <w:szCs w:val="24"/>
        </w:rPr>
        <w:t>7/2018.</w:t>
      </w:r>
      <w:r w:rsidRPr="00020E66">
        <w:rPr>
          <w:rFonts w:ascii="Arial" w:eastAsia="Calibri" w:hAnsi="Arial" w:cs="Arial"/>
          <w:sz w:val="24"/>
          <w:szCs w:val="24"/>
        </w:rPr>
        <w:t xml:space="preserve">  Across London 2</w:t>
      </w:r>
      <w:r w:rsidR="00020E66" w:rsidRPr="00020E66">
        <w:rPr>
          <w:rFonts w:ascii="Arial" w:eastAsia="Calibri" w:hAnsi="Arial" w:cs="Arial"/>
          <w:sz w:val="24"/>
          <w:szCs w:val="24"/>
        </w:rPr>
        <w:t>0.0</w:t>
      </w:r>
      <w:r w:rsidRPr="00020E66">
        <w:rPr>
          <w:rFonts w:ascii="Arial" w:eastAsia="Calibri" w:hAnsi="Arial" w:cs="Arial"/>
          <w:sz w:val="24"/>
          <w:szCs w:val="24"/>
        </w:rPr>
        <w:t xml:space="preserve">% of </w:t>
      </w:r>
      <w:r w:rsidR="00020E66" w:rsidRPr="00020E66">
        <w:rPr>
          <w:rFonts w:ascii="Arial" w:eastAsia="Calibri" w:hAnsi="Arial" w:cs="Arial"/>
          <w:sz w:val="24"/>
          <w:szCs w:val="24"/>
        </w:rPr>
        <w:t>s</w:t>
      </w:r>
      <w:r w:rsidRPr="00020E66">
        <w:rPr>
          <w:rFonts w:ascii="Arial" w:eastAsia="Calibri" w:hAnsi="Arial" w:cs="Arial"/>
          <w:sz w:val="24"/>
          <w:szCs w:val="24"/>
        </w:rPr>
        <w:t>ervice users received direct payments, similar to the national average of 2</w:t>
      </w:r>
      <w:r w:rsidR="00020E66" w:rsidRPr="00020E66">
        <w:rPr>
          <w:rFonts w:ascii="Arial" w:eastAsia="Calibri" w:hAnsi="Arial" w:cs="Arial"/>
          <w:sz w:val="24"/>
          <w:szCs w:val="24"/>
        </w:rPr>
        <w:t>1.9</w:t>
      </w:r>
      <w:r w:rsidR="00020E66">
        <w:rPr>
          <w:rFonts w:ascii="Arial" w:eastAsia="Calibri" w:hAnsi="Arial" w:cs="Arial"/>
          <w:sz w:val="24"/>
          <w:szCs w:val="24"/>
        </w:rPr>
        <w:t>%.</w:t>
      </w:r>
    </w:p>
    <w:p w:rsidR="00161FE0" w:rsidRPr="00020E66" w:rsidRDefault="00161FE0" w:rsidP="006A31AE">
      <w:pPr>
        <w:spacing w:after="200" w:line="276" w:lineRule="auto"/>
        <w:rPr>
          <w:rFonts w:ascii="Arial" w:eastAsia="Calibri" w:hAnsi="Arial" w:cs="Arial"/>
          <w:sz w:val="24"/>
          <w:szCs w:val="24"/>
        </w:rPr>
      </w:pPr>
    </w:p>
    <w:p w:rsidR="00020E66" w:rsidRDefault="00020E66" w:rsidP="00020E66">
      <w:pPr>
        <w:spacing w:after="0" w:line="240" w:lineRule="auto"/>
        <w:outlineLvl w:val="1"/>
        <w:rPr>
          <w:rFonts w:ascii="Arial" w:eastAsia="Times New Roman" w:hAnsi="Arial" w:cs="Arial"/>
          <w:b/>
          <w:bCs/>
          <w:color w:val="00B050"/>
          <w:sz w:val="28"/>
          <w:szCs w:val="24"/>
          <w:lang w:eastAsia="en-GB"/>
        </w:rPr>
      </w:pPr>
      <w:r w:rsidRPr="00020E66">
        <w:rPr>
          <w:rFonts w:ascii="Arial" w:eastAsia="Times New Roman" w:hAnsi="Arial" w:cs="Arial"/>
          <w:b/>
          <w:bCs/>
          <w:color w:val="00B050"/>
          <w:sz w:val="28"/>
          <w:szCs w:val="24"/>
          <w:lang w:eastAsia="en-GB"/>
        </w:rPr>
        <w:t>Carers</w:t>
      </w:r>
    </w:p>
    <w:p w:rsidR="00020E66" w:rsidRPr="00020E66" w:rsidRDefault="00020E66" w:rsidP="00020E66">
      <w:pPr>
        <w:spacing w:after="0" w:line="240" w:lineRule="auto"/>
        <w:outlineLvl w:val="1"/>
        <w:rPr>
          <w:rFonts w:ascii="Arial" w:eastAsia="Times New Roman" w:hAnsi="Arial" w:cs="Arial"/>
          <w:b/>
          <w:bCs/>
          <w:color w:val="00B050"/>
          <w:sz w:val="28"/>
          <w:szCs w:val="24"/>
          <w:lang w:eastAsia="en-GB"/>
        </w:rPr>
      </w:pPr>
    </w:p>
    <w:p w:rsidR="006A31AE" w:rsidRPr="00020E66" w:rsidRDefault="006A31AE" w:rsidP="006A31AE">
      <w:pPr>
        <w:spacing w:after="200" w:line="276" w:lineRule="auto"/>
        <w:rPr>
          <w:rFonts w:ascii="Arial" w:eastAsia="Calibri" w:hAnsi="Arial" w:cs="Arial"/>
          <w:sz w:val="24"/>
          <w:szCs w:val="24"/>
        </w:rPr>
      </w:pPr>
      <w:r w:rsidRPr="00020E66">
        <w:rPr>
          <w:rFonts w:ascii="Arial" w:eastAsia="Calibri" w:hAnsi="Arial" w:cs="Arial"/>
          <w:sz w:val="24"/>
          <w:szCs w:val="24"/>
        </w:rPr>
        <w:t xml:space="preserve">The proportion of carers in Croydon receiving direct payments remains much lower than the regional and national averages. Only </w:t>
      </w:r>
      <w:r w:rsidR="00020E66" w:rsidRPr="00020E66">
        <w:rPr>
          <w:rFonts w:ascii="Arial" w:eastAsia="Calibri" w:hAnsi="Arial" w:cs="Arial"/>
          <w:sz w:val="24"/>
          <w:szCs w:val="24"/>
        </w:rPr>
        <w:t>14.5</w:t>
      </w:r>
      <w:r w:rsidRPr="00020E66">
        <w:rPr>
          <w:rFonts w:ascii="Arial" w:eastAsia="Calibri" w:hAnsi="Arial" w:cs="Arial"/>
          <w:sz w:val="24"/>
          <w:szCs w:val="24"/>
        </w:rPr>
        <w:t xml:space="preserve">% received direct payments in Croydon compared to </w:t>
      </w:r>
      <w:r w:rsidR="00020E66" w:rsidRPr="00020E66">
        <w:rPr>
          <w:rFonts w:ascii="Arial" w:eastAsia="Calibri" w:hAnsi="Arial" w:cs="Arial"/>
          <w:sz w:val="24"/>
          <w:szCs w:val="24"/>
        </w:rPr>
        <w:t>24.0</w:t>
      </w:r>
      <w:r w:rsidRPr="00020E66">
        <w:rPr>
          <w:rFonts w:ascii="Arial" w:eastAsia="Calibri" w:hAnsi="Arial" w:cs="Arial"/>
          <w:sz w:val="24"/>
          <w:szCs w:val="24"/>
        </w:rPr>
        <w:t xml:space="preserve">% across London and an average of </w:t>
      </w:r>
      <w:r w:rsidR="00020E66" w:rsidRPr="00020E66">
        <w:rPr>
          <w:rFonts w:ascii="Arial" w:eastAsia="Calibri" w:hAnsi="Arial" w:cs="Arial"/>
          <w:sz w:val="24"/>
          <w:szCs w:val="24"/>
        </w:rPr>
        <w:t>23.4</w:t>
      </w:r>
      <w:r w:rsidRPr="00020E66">
        <w:rPr>
          <w:rFonts w:ascii="Arial" w:eastAsia="Calibri" w:hAnsi="Arial" w:cs="Arial"/>
          <w:sz w:val="24"/>
          <w:szCs w:val="24"/>
        </w:rPr>
        <w:t xml:space="preserve"> nationally.</w:t>
      </w:r>
      <w:r w:rsidRPr="00020E66">
        <w:rPr>
          <w:rFonts w:ascii="Arial" w:eastAsia="Calibri" w:hAnsi="Arial" w:cs="Arial"/>
          <w:sz w:val="24"/>
          <w:szCs w:val="24"/>
          <w:vertAlign w:val="superscript"/>
        </w:rPr>
        <w:footnoteReference w:id="34"/>
      </w:r>
    </w:p>
    <w:p w:rsidR="006A50E0" w:rsidRDefault="006A50E0"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Reablement</w:t>
      </w: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p>
    <w:p w:rsidR="006A31AE" w:rsidRPr="00C044A5" w:rsidRDefault="006A31AE" w:rsidP="006A31AE">
      <w:pPr>
        <w:spacing w:after="0" w:line="240" w:lineRule="auto"/>
        <w:outlineLvl w:val="1"/>
        <w:rPr>
          <w:rFonts w:ascii="Arial" w:eastAsia="Calibri" w:hAnsi="Arial" w:cs="Arial"/>
          <w:sz w:val="24"/>
          <w:szCs w:val="24"/>
        </w:rPr>
      </w:pPr>
      <w:r w:rsidRPr="00C044A5">
        <w:rPr>
          <w:rFonts w:ascii="Arial" w:eastAsia="Calibri" w:hAnsi="Arial" w:cs="Arial"/>
          <w:sz w:val="24"/>
          <w:szCs w:val="24"/>
        </w:rPr>
        <w:t>The effectiveness of reablement services is measured by the percentage of over 65</w:t>
      </w:r>
      <w:r w:rsidR="00C044A5">
        <w:rPr>
          <w:rFonts w:ascii="Arial" w:eastAsia="Calibri" w:hAnsi="Arial" w:cs="Arial"/>
          <w:sz w:val="24"/>
          <w:szCs w:val="24"/>
        </w:rPr>
        <w:t xml:space="preserve"> year old</w:t>
      </w:r>
      <w:r w:rsidRPr="00C044A5">
        <w:rPr>
          <w:rFonts w:ascii="Arial" w:eastAsia="Calibri" w:hAnsi="Arial" w:cs="Arial"/>
          <w:sz w:val="24"/>
          <w:szCs w:val="24"/>
        </w:rPr>
        <w:t xml:space="preserve">s who remain in their own home 91 days after they have been discharged from hospital. </w:t>
      </w:r>
    </w:p>
    <w:p w:rsidR="002F173F" w:rsidRPr="00C044A5" w:rsidRDefault="006A31AE" w:rsidP="00045B40">
      <w:pPr>
        <w:spacing w:after="0" w:line="240" w:lineRule="auto"/>
        <w:rPr>
          <w:rFonts w:ascii="Arial" w:eastAsia="Calibri" w:hAnsi="Arial" w:cs="Arial"/>
          <w:sz w:val="24"/>
          <w:szCs w:val="24"/>
        </w:rPr>
      </w:pPr>
      <w:r w:rsidRPr="00C044A5">
        <w:rPr>
          <w:rFonts w:ascii="Arial" w:eastAsia="Calibri" w:hAnsi="Arial" w:cs="Arial"/>
          <w:sz w:val="24"/>
          <w:szCs w:val="24"/>
        </w:rPr>
        <w:t xml:space="preserve">There has been improvement in the effectiveness of reablement services in Croydon since 2010/11. </w:t>
      </w:r>
    </w:p>
    <w:p w:rsidR="002F173F" w:rsidRPr="00C044A5" w:rsidRDefault="002F173F" w:rsidP="00045B40">
      <w:pPr>
        <w:spacing w:after="0" w:line="240" w:lineRule="auto"/>
        <w:rPr>
          <w:rFonts w:ascii="Arial" w:eastAsia="Calibri" w:hAnsi="Arial" w:cs="Arial"/>
          <w:sz w:val="24"/>
          <w:szCs w:val="24"/>
        </w:rPr>
      </w:pPr>
    </w:p>
    <w:p w:rsidR="00150068" w:rsidRDefault="00150068" w:rsidP="002F173F">
      <w:pPr>
        <w:spacing w:after="0" w:line="240" w:lineRule="auto"/>
        <w:rPr>
          <w:rFonts w:ascii="Arial" w:eastAsia="Calibri" w:hAnsi="Arial" w:cs="Arial"/>
          <w:sz w:val="24"/>
          <w:szCs w:val="24"/>
        </w:rPr>
      </w:pPr>
    </w:p>
    <w:p w:rsidR="00150068" w:rsidRDefault="00150068" w:rsidP="002F173F">
      <w:pPr>
        <w:spacing w:after="0" w:line="240" w:lineRule="auto"/>
        <w:rPr>
          <w:rFonts w:ascii="Arial" w:eastAsia="Calibri" w:hAnsi="Arial" w:cs="Arial"/>
          <w:sz w:val="24"/>
          <w:szCs w:val="24"/>
        </w:rPr>
      </w:pPr>
    </w:p>
    <w:p w:rsidR="00802D4E" w:rsidRDefault="00802D4E" w:rsidP="002F173F">
      <w:pPr>
        <w:spacing w:after="0" w:line="240" w:lineRule="auto"/>
        <w:rPr>
          <w:rFonts w:ascii="Arial" w:eastAsia="Calibri" w:hAnsi="Arial" w:cs="Arial"/>
          <w:sz w:val="24"/>
          <w:szCs w:val="24"/>
        </w:rPr>
      </w:pPr>
    </w:p>
    <w:p w:rsidR="00C044A5" w:rsidRPr="00C044A5" w:rsidRDefault="006A31AE" w:rsidP="002F173F">
      <w:pPr>
        <w:spacing w:after="0" w:line="240" w:lineRule="auto"/>
        <w:rPr>
          <w:rFonts w:ascii="Arial" w:eastAsia="Calibri" w:hAnsi="Arial" w:cs="Arial"/>
          <w:sz w:val="24"/>
          <w:szCs w:val="24"/>
        </w:rPr>
      </w:pPr>
      <w:r w:rsidRPr="00C044A5">
        <w:rPr>
          <w:rFonts w:ascii="Arial" w:eastAsia="Calibri" w:hAnsi="Arial" w:cs="Arial"/>
          <w:sz w:val="24"/>
          <w:szCs w:val="24"/>
        </w:rPr>
        <w:t>In 2016/</w:t>
      </w:r>
      <w:r w:rsidR="00802D4E">
        <w:rPr>
          <w:rFonts w:ascii="Arial" w:eastAsia="Calibri" w:hAnsi="Arial" w:cs="Arial"/>
          <w:sz w:val="24"/>
          <w:szCs w:val="24"/>
        </w:rPr>
        <w:t>20</w:t>
      </w:r>
      <w:r w:rsidRPr="00C044A5">
        <w:rPr>
          <w:rFonts w:ascii="Arial" w:eastAsia="Calibri" w:hAnsi="Arial" w:cs="Arial"/>
          <w:sz w:val="24"/>
          <w:szCs w:val="24"/>
        </w:rPr>
        <w:t xml:space="preserve">17 approximately 91.38% of older people were still at home 91 days after discharge. </w:t>
      </w:r>
      <w:r w:rsidR="00C044A5" w:rsidRPr="00C044A5">
        <w:rPr>
          <w:rFonts w:ascii="Arial" w:eastAsia="Calibri" w:hAnsi="Arial" w:cs="Arial"/>
          <w:sz w:val="24"/>
          <w:szCs w:val="24"/>
        </w:rPr>
        <w:t>During 2017/2018, the outcome has</w:t>
      </w:r>
      <w:r w:rsidR="00C044A5">
        <w:rPr>
          <w:rFonts w:ascii="Arial" w:eastAsia="Calibri" w:hAnsi="Arial" w:cs="Arial"/>
          <w:sz w:val="24"/>
          <w:szCs w:val="24"/>
        </w:rPr>
        <w:t xml:space="preserve"> improved to 93.4%.  This is much better than the Outer London average of 87.9%, the London average of 87.2% and the national average of 82.9%.</w:t>
      </w:r>
    </w:p>
    <w:p w:rsidR="00C044A5" w:rsidRPr="00150068" w:rsidRDefault="00C044A5" w:rsidP="002F173F">
      <w:pPr>
        <w:spacing w:after="0" w:line="240" w:lineRule="auto"/>
        <w:rPr>
          <w:rFonts w:ascii="Arial" w:eastAsia="Calibri" w:hAnsi="Arial" w:cs="Arial"/>
          <w:sz w:val="24"/>
          <w:szCs w:val="24"/>
        </w:rPr>
      </w:pPr>
    </w:p>
    <w:p w:rsidR="006A31AE" w:rsidRPr="00150068" w:rsidRDefault="00150068" w:rsidP="002F173F">
      <w:pPr>
        <w:spacing w:after="0" w:line="240" w:lineRule="auto"/>
        <w:rPr>
          <w:rFonts w:ascii="Arial" w:eastAsia="Calibri" w:hAnsi="Arial" w:cs="Arial"/>
          <w:sz w:val="24"/>
          <w:szCs w:val="24"/>
        </w:rPr>
      </w:pPr>
      <w:r w:rsidRPr="00150068">
        <w:rPr>
          <w:rFonts w:ascii="Arial" w:eastAsia="Calibri" w:hAnsi="Arial" w:cs="Arial"/>
          <w:sz w:val="24"/>
          <w:szCs w:val="24"/>
        </w:rPr>
        <w:t>T</w:t>
      </w:r>
      <w:r w:rsidR="00802D4E">
        <w:rPr>
          <w:rFonts w:ascii="Arial" w:eastAsia="Calibri" w:hAnsi="Arial" w:cs="Arial"/>
          <w:sz w:val="24"/>
          <w:szCs w:val="24"/>
        </w:rPr>
        <w:t>he following table</w:t>
      </w:r>
      <w:r w:rsidR="006A31AE" w:rsidRPr="00150068">
        <w:rPr>
          <w:rFonts w:ascii="Arial" w:eastAsia="Calibri" w:hAnsi="Arial" w:cs="Arial"/>
          <w:sz w:val="24"/>
          <w:szCs w:val="24"/>
        </w:rPr>
        <w:t xml:space="preserve"> provides more details on the people who be</w:t>
      </w:r>
      <w:r w:rsidRPr="00150068">
        <w:rPr>
          <w:rFonts w:ascii="Arial" w:eastAsia="Calibri" w:hAnsi="Arial" w:cs="Arial"/>
          <w:sz w:val="24"/>
          <w:szCs w:val="24"/>
        </w:rPr>
        <w:t>nefitted from reablement in 2017/2018</w:t>
      </w:r>
      <w:r w:rsidR="006A31AE" w:rsidRPr="00150068">
        <w:rPr>
          <w:rFonts w:ascii="Arial" w:eastAsia="Calibri" w:hAnsi="Arial" w:cs="Arial"/>
          <w:sz w:val="24"/>
          <w:szCs w:val="24"/>
        </w:rPr>
        <w:t>.</w:t>
      </w:r>
    </w:p>
    <w:p w:rsidR="002F173F" w:rsidRPr="00150068" w:rsidRDefault="002F173F" w:rsidP="002F173F">
      <w:pPr>
        <w:spacing w:after="0" w:line="240" w:lineRule="auto"/>
        <w:rPr>
          <w:rFonts w:ascii="Arial" w:eastAsia="Calibri" w:hAnsi="Arial" w:cs="Arial"/>
          <w:sz w:val="24"/>
          <w:szCs w:val="24"/>
        </w:rPr>
      </w:pPr>
    </w:p>
    <w:p w:rsidR="006A31AE" w:rsidRPr="00150068" w:rsidRDefault="003F4723" w:rsidP="006A31AE">
      <w:pPr>
        <w:spacing w:after="200" w:line="276" w:lineRule="auto"/>
        <w:rPr>
          <w:rFonts w:ascii="Arial" w:eastAsia="Calibri" w:hAnsi="Arial" w:cs="Arial"/>
          <w:sz w:val="24"/>
          <w:szCs w:val="24"/>
          <w:u w:val="single"/>
        </w:rPr>
      </w:pPr>
      <w:r w:rsidRPr="00150068">
        <w:rPr>
          <w:rFonts w:ascii="Arial" w:eastAsia="Calibri" w:hAnsi="Arial" w:cs="Arial"/>
          <w:sz w:val="24"/>
          <w:szCs w:val="24"/>
          <w:u w:val="single"/>
        </w:rPr>
        <w:t>Table 2</w:t>
      </w:r>
      <w:r w:rsidR="006A31AE" w:rsidRPr="00150068">
        <w:rPr>
          <w:rFonts w:ascii="Arial" w:eastAsia="Calibri" w:hAnsi="Arial" w:cs="Arial"/>
          <w:sz w:val="24"/>
          <w:szCs w:val="24"/>
          <w:u w:val="single"/>
        </w:rPr>
        <w:t xml:space="preserve"> – Number of older people still at home 91 days after discharge from hospital by age </w:t>
      </w:r>
      <w:r w:rsidR="00150068" w:rsidRPr="00150068">
        <w:rPr>
          <w:rFonts w:ascii="Arial" w:eastAsia="Calibri" w:hAnsi="Arial" w:cs="Arial"/>
          <w:sz w:val="24"/>
          <w:szCs w:val="24"/>
          <w:u w:val="single"/>
        </w:rPr>
        <w:t>band</w:t>
      </w:r>
      <w:r w:rsidR="006A31AE" w:rsidRPr="00150068">
        <w:rPr>
          <w:rFonts w:ascii="Arial" w:eastAsia="Calibri" w:hAnsi="Arial" w:cs="Arial"/>
          <w:sz w:val="24"/>
          <w:szCs w:val="24"/>
          <w:u w:val="single"/>
        </w:rPr>
        <w:t>.</w:t>
      </w:r>
    </w:p>
    <w:tbl>
      <w:tblPr>
        <w:tblW w:w="6379" w:type="dxa"/>
        <w:tblLook w:val="04A0" w:firstRow="1" w:lastRow="0" w:firstColumn="1" w:lastColumn="0" w:noHBand="0" w:noVBand="1"/>
      </w:tblPr>
      <w:tblGrid>
        <w:gridCol w:w="1134"/>
        <w:gridCol w:w="2268"/>
        <w:gridCol w:w="1842"/>
        <w:gridCol w:w="1135"/>
      </w:tblGrid>
      <w:tr w:rsidR="00150068" w:rsidRPr="00150068" w:rsidTr="00061F50">
        <w:trPr>
          <w:trHeight w:val="1398"/>
        </w:trPr>
        <w:tc>
          <w:tcPr>
            <w:tcW w:w="1134" w:type="dxa"/>
            <w:tcBorders>
              <w:top w:val="nil"/>
              <w:left w:val="nil"/>
              <w:bottom w:val="nil"/>
              <w:right w:val="nil"/>
            </w:tcBorders>
            <w:shd w:val="clear" w:color="auto" w:fill="auto"/>
            <w:noWrap/>
            <w:vAlign w:val="bottom"/>
            <w:hideMark/>
          </w:tcPr>
          <w:p w:rsidR="00150068" w:rsidRPr="00150068" w:rsidRDefault="00150068" w:rsidP="006A31AE">
            <w:pPr>
              <w:spacing w:after="0" w:line="240" w:lineRule="auto"/>
              <w:rPr>
                <w:rFonts w:ascii="Times New Roman" w:eastAsia="Times New Roman" w:hAnsi="Times New Roman" w:cs="Times New Roman"/>
                <w:sz w:val="24"/>
                <w:szCs w:val="24"/>
                <w:lang w:eastAsia="en-GB"/>
              </w:rPr>
            </w:pPr>
          </w:p>
        </w:tc>
        <w:tc>
          <w:tcPr>
            <w:tcW w:w="2268" w:type="dxa"/>
            <w:tcBorders>
              <w:top w:val="single" w:sz="8" w:space="0" w:color="auto"/>
              <w:left w:val="single" w:sz="8" w:space="0" w:color="auto"/>
              <w:bottom w:val="single" w:sz="4" w:space="0" w:color="auto"/>
              <w:right w:val="single" w:sz="8" w:space="0" w:color="auto"/>
            </w:tcBorders>
            <w:shd w:val="clear" w:color="auto" w:fill="auto"/>
            <w:hideMark/>
          </w:tcPr>
          <w:p w:rsidR="00150068" w:rsidRPr="00150068" w:rsidRDefault="00150068" w:rsidP="006A31AE">
            <w:pPr>
              <w:spacing w:after="0" w:line="240" w:lineRule="auto"/>
              <w:rPr>
                <w:rFonts w:ascii="Calibri" w:eastAsia="Times New Roman" w:hAnsi="Calibri" w:cs="Calibri"/>
                <w:lang w:eastAsia="en-GB"/>
              </w:rPr>
            </w:pPr>
            <w:r w:rsidRPr="00150068">
              <w:rPr>
                <w:rFonts w:ascii="Calibri" w:eastAsia="Times New Roman" w:hAnsi="Calibri" w:cs="Calibri"/>
                <w:lang w:eastAsia="en-GB"/>
              </w:rPr>
              <w:t xml:space="preserve">Number of discharges to rehabilitation where the intention is for the patient to go back home </w:t>
            </w:r>
          </w:p>
        </w:tc>
        <w:tc>
          <w:tcPr>
            <w:tcW w:w="1842" w:type="dxa"/>
            <w:tcBorders>
              <w:top w:val="single" w:sz="8" w:space="0" w:color="auto"/>
              <w:left w:val="nil"/>
              <w:bottom w:val="single" w:sz="4" w:space="0" w:color="auto"/>
              <w:right w:val="single" w:sz="8" w:space="0" w:color="auto"/>
            </w:tcBorders>
            <w:shd w:val="clear" w:color="auto" w:fill="auto"/>
            <w:hideMark/>
          </w:tcPr>
          <w:p w:rsidR="00150068" w:rsidRPr="00150068" w:rsidRDefault="00150068" w:rsidP="006A31AE">
            <w:pPr>
              <w:spacing w:after="0" w:line="240" w:lineRule="auto"/>
              <w:rPr>
                <w:rFonts w:ascii="Calibri" w:eastAsia="Times New Roman" w:hAnsi="Calibri" w:cs="Calibri"/>
                <w:lang w:eastAsia="en-GB"/>
              </w:rPr>
            </w:pPr>
            <w:r w:rsidRPr="00150068">
              <w:rPr>
                <w:rFonts w:ascii="Calibri" w:eastAsia="Times New Roman" w:hAnsi="Calibri" w:cs="Calibri"/>
                <w:lang w:eastAsia="en-GB"/>
              </w:rPr>
              <w:t xml:space="preserve">Number of discharges above where person </w:t>
            </w:r>
            <w:r w:rsidRPr="00150068">
              <w:rPr>
                <w:rFonts w:ascii="Calibri" w:eastAsia="Times New Roman" w:hAnsi="Calibri" w:cs="Calibri"/>
                <w:lang w:eastAsia="en-GB"/>
              </w:rPr>
              <w:br/>
              <w:t>was still at home 91 days later</w:t>
            </w:r>
          </w:p>
        </w:tc>
        <w:tc>
          <w:tcPr>
            <w:tcW w:w="1135" w:type="dxa"/>
            <w:tcBorders>
              <w:top w:val="single" w:sz="8" w:space="0" w:color="auto"/>
              <w:left w:val="nil"/>
              <w:bottom w:val="single" w:sz="4" w:space="0" w:color="auto"/>
              <w:right w:val="single" w:sz="8" w:space="0" w:color="auto"/>
            </w:tcBorders>
          </w:tcPr>
          <w:p w:rsidR="00150068" w:rsidRPr="00150068" w:rsidRDefault="00150068" w:rsidP="006A31AE">
            <w:pPr>
              <w:spacing w:after="0" w:line="240" w:lineRule="auto"/>
              <w:rPr>
                <w:rFonts w:ascii="Calibri" w:eastAsia="Times New Roman" w:hAnsi="Calibri" w:cs="Calibri"/>
                <w:lang w:eastAsia="en-GB"/>
              </w:rPr>
            </w:pPr>
            <w:r w:rsidRPr="00150068">
              <w:rPr>
                <w:rFonts w:ascii="Calibri" w:eastAsia="Times New Roman" w:hAnsi="Calibri" w:cs="Calibri"/>
                <w:lang w:eastAsia="en-GB"/>
              </w:rPr>
              <w:t>% still at home 91 days after discharge</w:t>
            </w:r>
          </w:p>
        </w:tc>
      </w:tr>
      <w:tr w:rsidR="00150068" w:rsidRPr="00150068" w:rsidTr="00061F50">
        <w:trPr>
          <w:trHeight w:val="730"/>
        </w:trPr>
        <w:tc>
          <w:tcPr>
            <w:tcW w:w="1134" w:type="dxa"/>
            <w:tcBorders>
              <w:top w:val="single" w:sz="8" w:space="0" w:color="auto"/>
              <w:left w:val="single" w:sz="8" w:space="0" w:color="auto"/>
              <w:bottom w:val="single" w:sz="8" w:space="0" w:color="auto"/>
              <w:right w:val="single" w:sz="4" w:space="0" w:color="auto"/>
            </w:tcBorders>
            <w:shd w:val="clear" w:color="auto" w:fill="auto"/>
            <w:hideMark/>
          </w:tcPr>
          <w:p w:rsidR="00150068" w:rsidRPr="00150068" w:rsidRDefault="00150068" w:rsidP="006A31AE">
            <w:pPr>
              <w:spacing w:after="0" w:line="240" w:lineRule="auto"/>
              <w:rPr>
                <w:rFonts w:ascii="Calibri" w:eastAsia="Times New Roman" w:hAnsi="Calibri" w:cs="Calibri"/>
                <w:lang w:eastAsia="en-GB"/>
              </w:rPr>
            </w:pPr>
            <w:r w:rsidRPr="00150068">
              <w:rPr>
                <w:rFonts w:ascii="Calibri" w:eastAsia="Times New Roman" w:hAnsi="Calibri" w:cs="Calibri"/>
                <w:lang w:eastAsia="en-GB"/>
              </w:rPr>
              <w:t>65 to 74 years old</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50068" w:rsidRPr="00150068" w:rsidRDefault="00150068" w:rsidP="006771E1">
            <w:pPr>
              <w:spacing w:after="0" w:line="240" w:lineRule="auto"/>
              <w:jc w:val="center"/>
              <w:rPr>
                <w:rFonts w:ascii="Calibri" w:eastAsia="Times New Roman" w:hAnsi="Calibri" w:cs="Calibri"/>
                <w:lang w:eastAsia="en-GB"/>
              </w:rPr>
            </w:pPr>
            <w:r w:rsidRPr="00150068">
              <w:rPr>
                <w:rFonts w:ascii="Calibri" w:eastAsia="Times New Roman" w:hAnsi="Calibri" w:cs="Calibri"/>
                <w:lang w:eastAsia="en-GB"/>
              </w:rPr>
              <w:t>60</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50068" w:rsidRPr="00150068" w:rsidRDefault="00150068" w:rsidP="006771E1">
            <w:pPr>
              <w:spacing w:after="0" w:line="240" w:lineRule="auto"/>
              <w:jc w:val="center"/>
              <w:rPr>
                <w:rFonts w:ascii="Calibri" w:eastAsia="Times New Roman" w:hAnsi="Calibri" w:cs="Calibri"/>
                <w:lang w:eastAsia="en-GB"/>
              </w:rPr>
            </w:pPr>
            <w:r w:rsidRPr="00150068">
              <w:rPr>
                <w:rFonts w:ascii="Calibri" w:eastAsia="Times New Roman" w:hAnsi="Calibri" w:cs="Calibri"/>
                <w:lang w:eastAsia="en-GB"/>
              </w:rPr>
              <w:t>55</w:t>
            </w:r>
          </w:p>
        </w:tc>
        <w:tc>
          <w:tcPr>
            <w:tcW w:w="1135" w:type="dxa"/>
            <w:tcBorders>
              <w:top w:val="single" w:sz="4" w:space="0" w:color="auto"/>
              <w:left w:val="single" w:sz="4" w:space="0" w:color="auto"/>
              <w:bottom w:val="single" w:sz="4" w:space="0" w:color="auto"/>
              <w:right w:val="single" w:sz="4" w:space="0" w:color="auto"/>
            </w:tcBorders>
          </w:tcPr>
          <w:p w:rsidR="00150068" w:rsidRPr="00150068" w:rsidRDefault="00150068" w:rsidP="00150068">
            <w:pPr>
              <w:spacing w:after="0" w:line="240" w:lineRule="auto"/>
              <w:jc w:val="center"/>
              <w:rPr>
                <w:rFonts w:ascii="Calibri" w:eastAsia="Times New Roman" w:hAnsi="Calibri" w:cs="Calibri"/>
                <w:lang w:eastAsia="en-GB"/>
              </w:rPr>
            </w:pPr>
          </w:p>
          <w:p w:rsidR="00150068" w:rsidRPr="00150068" w:rsidRDefault="00150068" w:rsidP="00150068">
            <w:pPr>
              <w:spacing w:after="0" w:line="240" w:lineRule="auto"/>
              <w:jc w:val="center"/>
              <w:rPr>
                <w:rFonts w:ascii="Calibri" w:eastAsia="Times New Roman" w:hAnsi="Calibri" w:cs="Calibri"/>
                <w:lang w:eastAsia="en-GB"/>
              </w:rPr>
            </w:pPr>
            <w:r w:rsidRPr="00150068">
              <w:rPr>
                <w:rFonts w:ascii="Calibri" w:eastAsia="Times New Roman" w:hAnsi="Calibri" w:cs="Calibri"/>
                <w:lang w:eastAsia="en-GB"/>
              </w:rPr>
              <w:t>91.7%</w:t>
            </w:r>
          </w:p>
          <w:p w:rsidR="00150068" w:rsidRPr="00150068" w:rsidRDefault="00150068" w:rsidP="006771E1">
            <w:pPr>
              <w:spacing w:after="0" w:line="240" w:lineRule="auto"/>
              <w:jc w:val="center"/>
              <w:rPr>
                <w:rFonts w:ascii="Calibri" w:eastAsia="Times New Roman" w:hAnsi="Calibri" w:cs="Calibri"/>
                <w:lang w:eastAsia="en-GB"/>
              </w:rPr>
            </w:pPr>
          </w:p>
        </w:tc>
      </w:tr>
      <w:tr w:rsidR="00150068" w:rsidRPr="00150068" w:rsidTr="00061F50">
        <w:trPr>
          <w:trHeight w:val="729"/>
        </w:trPr>
        <w:tc>
          <w:tcPr>
            <w:tcW w:w="1134" w:type="dxa"/>
            <w:tcBorders>
              <w:top w:val="nil"/>
              <w:left w:val="single" w:sz="8" w:space="0" w:color="auto"/>
              <w:bottom w:val="single" w:sz="4" w:space="0" w:color="auto"/>
              <w:right w:val="single" w:sz="4" w:space="0" w:color="auto"/>
            </w:tcBorders>
            <w:shd w:val="clear" w:color="auto" w:fill="auto"/>
            <w:hideMark/>
          </w:tcPr>
          <w:p w:rsidR="00150068" w:rsidRPr="00150068" w:rsidRDefault="00150068" w:rsidP="006A31AE">
            <w:pPr>
              <w:spacing w:after="0" w:line="240" w:lineRule="auto"/>
              <w:rPr>
                <w:rFonts w:ascii="Calibri" w:eastAsia="Times New Roman" w:hAnsi="Calibri" w:cs="Calibri"/>
                <w:lang w:eastAsia="en-GB"/>
              </w:rPr>
            </w:pPr>
            <w:r w:rsidRPr="00150068">
              <w:rPr>
                <w:rFonts w:ascii="Calibri" w:eastAsia="Times New Roman" w:hAnsi="Calibri" w:cs="Calibri"/>
                <w:lang w:eastAsia="en-GB"/>
              </w:rPr>
              <w:t>75 to 84 years old</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50068" w:rsidRPr="00150068" w:rsidRDefault="00150068" w:rsidP="006771E1">
            <w:pPr>
              <w:spacing w:after="0" w:line="240" w:lineRule="auto"/>
              <w:jc w:val="center"/>
              <w:rPr>
                <w:rFonts w:ascii="Calibri" w:eastAsia="Times New Roman" w:hAnsi="Calibri" w:cs="Calibri"/>
                <w:lang w:eastAsia="en-GB"/>
              </w:rPr>
            </w:pPr>
            <w:r w:rsidRPr="00150068">
              <w:rPr>
                <w:rFonts w:ascii="Calibri" w:eastAsia="Times New Roman" w:hAnsi="Calibri" w:cs="Calibri"/>
                <w:lang w:eastAsia="en-GB"/>
              </w:rPr>
              <w:t>123</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50068" w:rsidRPr="00150068" w:rsidRDefault="00150068" w:rsidP="006771E1">
            <w:pPr>
              <w:spacing w:after="0" w:line="240" w:lineRule="auto"/>
              <w:jc w:val="center"/>
              <w:rPr>
                <w:rFonts w:ascii="Calibri" w:eastAsia="Times New Roman" w:hAnsi="Calibri" w:cs="Calibri"/>
                <w:lang w:eastAsia="en-GB"/>
              </w:rPr>
            </w:pPr>
            <w:r w:rsidRPr="00150068">
              <w:rPr>
                <w:rFonts w:ascii="Calibri" w:eastAsia="Times New Roman" w:hAnsi="Calibri" w:cs="Calibri"/>
                <w:lang w:eastAsia="en-GB"/>
              </w:rPr>
              <w:t>116</w:t>
            </w:r>
          </w:p>
        </w:tc>
        <w:tc>
          <w:tcPr>
            <w:tcW w:w="1135" w:type="dxa"/>
            <w:tcBorders>
              <w:top w:val="single" w:sz="4" w:space="0" w:color="auto"/>
              <w:left w:val="single" w:sz="4" w:space="0" w:color="auto"/>
              <w:bottom w:val="single" w:sz="4" w:space="0" w:color="auto"/>
              <w:right w:val="single" w:sz="4" w:space="0" w:color="auto"/>
            </w:tcBorders>
          </w:tcPr>
          <w:p w:rsidR="00150068" w:rsidRPr="00150068" w:rsidRDefault="00150068" w:rsidP="006771E1">
            <w:pPr>
              <w:spacing w:after="0" w:line="240" w:lineRule="auto"/>
              <w:jc w:val="center"/>
              <w:rPr>
                <w:rFonts w:ascii="Calibri" w:eastAsia="Times New Roman" w:hAnsi="Calibri" w:cs="Calibri"/>
                <w:lang w:eastAsia="en-GB"/>
              </w:rPr>
            </w:pPr>
          </w:p>
          <w:p w:rsidR="00150068" w:rsidRPr="00150068" w:rsidRDefault="00150068" w:rsidP="00150068">
            <w:pPr>
              <w:spacing w:after="0" w:line="240" w:lineRule="auto"/>
              <w:jc w:val="center"/>
              <w:rPr>
                <w:rFonts w:ascii="Calibri" w:eastAsia="Times New Roman" w:hAnsi="Calibri" w:cs="Calibri"/>
                <w:lang w:eastAsia="en-GB"/>
              </w:rPr>
            </w:pPr>
            <w:r w:rsidRPr="00150068">
              <w:rPr>
                <w:rFonts w:ascii="Calibri" w:eastAsia="Times New Roman" w:hAnsi="Calibri" w:cs="Calibri"/>
                <w:lang w:eastAsia="en-GB"/>
              </w:rPr>
              <w:t>94.3%</w:t>
            </w:r>
          </w:p>
        </w:tc>
      </w:tr>
      <w:tr w:rsidR="00150068" w:rsidRPr="00150068" w:rsidTr="00061F50">
        <w:trPr>
          <w:trHeight w:val="796"/>
        </w:trPr>
        <w:tc>
          <w:tcPr>
            <w:tcW w:w="1134" w:type="dxa"/>
            <w:tcBorders>
              <w:top w:val="single" w:sz="4" w:space="0" w:color="auto"/>
              <w:left w:val="single" w:sz="8" w:space="0" w:color="auto"/>
              <w:bottom w:val="single" w:sz="4" w:space="0" w:color="auto"/>
              <w:right w:val="single" w:sz="4" w:space="0" w:color="auto"/>
            </w:tcBorders>
            <w:shd w:val="clear" w:color="auto" w:fill="auto"/>
            <w:hideMark/>
          </w:tcPr>
          <w:p w:rsidR="00150068" w:rsidRPr="00150068" w:rsidRDefault="00150068" w:rsidP="006A31AE">
            <w:pPr>
              <w:spacing w:after="0" w:line="240" w:lineRule="auto"/>
              <w:rPr>
                <w:rFonts w:ascii="Calibri" w:eastAsia="Times New Roman" w:hAnsi="Calibri" w:cs="Calibri"/>
                <w:lang w:eastAsia="en-GB"/>
              </w:rPr>
            </w:pPr>
            <w:r w:rsidRPr="00150068">
              <w:rPr>
                <w:rFonts w:ascii="Calibri" w:eastAsia="Times New Roman" w:hAnsi="Calibri" w:cs="Calibri"/>
                <w:lang w:eastAsia="en-GB"/>
              </w:rPr>
              <w:t>85 years old and over</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50068" w:rsidRPr="00150068" w:rsidRDefault="00150068" w:rsidP="006771E1">
            <w:pPr>
              <w:spacing w:after="0" w:line="240" w:lineRule="auto"/>
              <w:jc w:val="center"/>
              <w:rPr>
                <w:rFonts w:ascii="Calibri" w:eastAsia="Times New Roman" w:hAnsi="Calibri" w:cs="Calibri"/>
                <w:lang w:eastAsia="en-GB"/>
              </w:rPr>
            </w:pPr>
            <w:r w:rsidRPr="00150068">
              <w:rPr>
                <w:rFonts w:ascii="Calibri" w:eastAsia="Times New Roman" w:hAnsi="Calibri" w:cs="Calibri"/>
                <w:lang w:eastAsia="en-GB"/>
              </w:rPr>
              <w:t>148</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50068" w:rsidRPr="00150068" w:rsidRDefault="00150068" w:rsidP="006771E1">
            <w:pPr>
              <w:spacing w:after="0" w:line="240" w:lineRule="auto"/>
              <w:jc w:val="center"/>
              <w:rPr>
                <w:rFonts w:ascii="Calibri" w:eastAsia="Times New Roman" w:hAnsi="Calibri" w:cs="Calibri"/>
                <w:lang w:eastAsia="en-GB"/>
              </w:rPr>
            </w:pPr>
            <w:r w:rsidRPr="00150068">
              <w:rPr>
                <w:rFonts w:ascii="Calibri" w:eastAsia="Times New Roman" w:hAnsi="Calibri" w:cs="Calibri"/>
                <w:lang w:eastAsia="en-GB"/>
              </w:rPr>
              <w:t>138</w:t>
            </w:r>
          </w:p>
        </w:tc>
        <w:tc>
          <w:tcPr>
            <w:tcW w:w="1135" w:type="dxa"/>
            <w:tcBorders>
              <w:top w:val="single" w:sz="4" w:space="0" w:color="auto"/>
              <w:left w:val="single" w:sz="4" w:space="0" w:color="auto"/>
              <w:bottom w:val="single" w:sz="4" w:space="0" w:color="auto"/>
              <w:right w:val="single" w:sz="4" w:space="0" w:color="auto"/>
            </w:tcBorders>
          </w:tcPr>
          <w:p w:rsidR="00150068" w:rsidRPr="00150068" w:rsidRDefault="00150068" w:rsidP="006771E1">
            <w:pPr>
              <w:spacing w:after="0" w:line="240" w:lineRule="auto"/>
              <w:jc w:val="center"/>
              <w:rPr>
                <w:rFonts w:ascii="Calibri" w:eastAsia="Times New Roman" w:hAnsi="Calibri" w:cs="Calibri"/>
                <w:lang w:eastAsia="en-GB"/>
              </w:rPr>
            </w:pPr>
          </w:p>
          <w:p w:rsidR="00150068" w:rsidRPr="00150068" w:rsidRDefault="00150068" w:rsidP="006771E1">
            <w:pPr>
              <w:spacing w:after="0" w:line="240" w:lineRule="auto"/>
              <w:jc w:val="center"/>
              <w:rPr>
                <w:rFonts w:ascii="Calibri" w:eastAsia="Times New Roman" w:hAnsi="Calibri" w:cs="Calibri"/>
                <w:lang w:eastAsia="en-GB"/>
              </w:rPr>
            </w:pPr>
            <w:r w:rsidRPr="00150068">
              <w:rPr>
                <w:rFonts w:ascii="Calibri" w:eastAsia="Times New Roman" w:hAnsi="Calibri" w:cs="Calibri"/>
                <w:lang w:eastAsia="en-GB"/>
              </w:rPr>
              <w:t>93.2%</w:t>
            </w:r>
          </w:p>
        </w:tc>
      </w:tr>
      <w:tr w:rsidR="00150068" w:rsidRPr="00150068" w:rsidTr="00061F50">
        <w:trPr>
          <w:trHeight w:val="642"/>
        </w:trPr>
        <w:tc>
          <w:tcPr>
            <w:tcW w:w="1134" w:type="dxa"/>
            <w:tcBorders>
              <w:top w:val="single" w:sz="4" w:space="0" w:color="auto"/>
              <w:left w:val="single" w:sz="8" w:space="0" w:color="auto"/>
              <w:bottom w:val="single" w:sz="4" w:space="0" w:color="auto"/>
              <w:right w:val="single" w:sz="4" w:space="0" w:color="auto"/>
            </w:tcBorders>
            <w:shd w:val="clear" w:color="auto" w:fill="auto"/>
            <w:hideMark/>
          </w:tcPr>
          <w:p w:rsidR="00150068" w:rsidRPr="00150068" w:rsidRDefault="00150068" w:rsidP="006A31AE">
            <w:pPr>
              <w:spacing w:after="0" w:line="240" w:lineRule="auto"/>
              <w:rPr>
                <w:rFonts w:ascii="Calibri" w:eastAsia="Times New Roman" w:hAnsi="Calibri" w:cs="Calibri"/>
                <w:lang w:eastAsia="en-GB"/>
              </w:rPr>
            </w:pPr>
            <w:r w:rsidRPr="00150068">
              <w:rPr>
                <w:rFonts w:ascii="Calibri" w:eastAsia="Times New Roman" w:hAnsi="Calibri" w:cs="Calibri"/>
                <w:lang w:eastAsia="en-GB"/>
              </w:rPr>
              <w:t>Total - 65 and Over</w:t>
            </w:r>
          </w:p>
        </w:tc>
        <w:tc>
          <w:tcPr>
            <w:tcW w:w="226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50068" w:rsidRPr="00150068" w:rsidRDefault="00150068" w:rsidP="006771E1">
            <w:pPr>
              <w:spacing w:after="0" w:line="240" w:lineRule="auto"/>
              <w:jc w:val="center"/>
              <w:rPr>
                <w:rFonts w:ascii="Calibri" w:eastAsia="Times New Roman" w:hAnsi="Calibri" w:cs="Calibri"/>
                <w:lang w:eastAsia="en-GB"/>
              </w:rPr>
            </w:pPr>
            <w:r w:rsidRPr="00150068">
              <w:rPr>
                <w:rFonts w:ascii="Calibri" w:eastAsia="Times New Roman" w:hAnsi="Calibri" w:cs="Calibri"/>
                <w:lang w:eastAsia="en-GB"/>
              </w:rPr>
              <w:t>331</w:t>
            </w:r>
          </w:p>
        </w:tc>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150068" w:rsidRPr="00150068" w:rsidRDefault="00150068" w:rsidP="006771E1">
            <w:pPr>
              <w:spacing w:after="0" w:line="240" w:lineRule="auto"/>
              <w:jc w:val="center"/>
              <w:rPr>
                <w:rFonts w:ascii="Calibri" w:eastAsia="Times New Roman" w:hAnsi="Calibri" w:cs="Calibri"/>
                <w:lang w:eastAsia="en-GB"/>
              </w:rPr>
            </w:pPr>
            <w:r w:rsidRPr="00150068">
              <w:rPr>
                <w:rFonts w:ascii="Calibri" w:eastAsia="Times New Roman" w:hAnsi="Calibri" w:cs="Calibri"/>
                <w:lang w:eastAsia="en-GB"/>
              </w:rPr>
              <w:t>309</w:t>
            </w:r>
          </w:p>
        </w:tc>
        <w:tc>
          <w:tcPr>
            <w:tcW w:w="1135" w:type="dxa"/>
            <w:tcBorders>
              <w:top w:val="single" w:sz="4" w:space="0" w:color="auto"/>
              <w:left w:val="single" w:sz="4" w:space="0" w:color="auto"/>
              <w:bottom w:val="single" w:sz="4" w:space="0" w:color="auto"/>
              <w:right w:val="single" w:sz="4" w:space="0" w:color="auto"/>
            </w:tcBorders>
          </w:tcPr>
          <w:p w:rsidR="00150068" w:rsidRPr="00150068" w:rsidRDefault="00150068" w:rsidP="006771E1">
            <w:pPr>
              <w:spacing w:after="0" w:line="240" w:lineRule="auto"/>
              <w:jc w:val="center"/>
              <w:rPr>
                <w:rFonts w:ascii="Calibri" w:eastAsia="Times New Roman" w:hAnsi="Calibri" w:cs="Calibri"/>
                <w:lang w:eastAsia="en-GB"/>
              </w:rPr>
            </w:pPr>
          </w:p>
          <w:p w:rsidR="00150068" w:rsidRPr="00150068" w:rsidRDefault="00150068" w:rsidP="006771E1">
            <w:pPr>
              <w:spacing w:after="0" w:line="240" w:lineRule="auto"/>
              <w:jc w:val="center"/>
              <w:rPr>
                <w:rFonts w:ascii="Calibri" w:eastAsia="Times New Roman" w:hAnsi="Calibri" w:cs="Calibri"/>
                <w:lang w:eastAsia="en-GB"/>
              </w:rPr>
            </w:pPr>
            <w:r w:rsidRPr="00150068">
              <w:rPr>
                <w:rFonts w:ascii="Calibri" w:eastAsia="Times New Roman" w:hAnsi="Calibri" w:cs="Calibri"/>
                <w:lang w:eastAsia="en-GB"/>
              </w:rPr>
              <w:t>93.4%</w:t>
            </w:r>
          </w:p>
        </w:tc>
      </w:tr>
    </w:tbl>
    <w:p w:rsidR="006A31AE" w:rsidRPr="006A50E0" w:rsidRDefault="006A31AE" w:rsidP="006A31AE">
      <w:pPr>
        <w:spacing w:after="200" w:line="276" w:lineRule="auto"/>
        <w:rPr>
          <w:rFonts w:ascii="Arial" w:eastAsia="Calibri" w:hAnsi="Arial" w:cs="Arial"/>
          <w:sz w:val="20"/>
          <w:szCs w:val="20"/>
        </w:rPr>
      </w:pPr>
      <w:r w:rsidRPr="006A50E0">
        <w:rPr>
          <w:rFonts w:ascii="Arial" w:eastAsia="Calibri" w:hAnsi="Arial" w:cs="Arial"/>
          <w:sz w:val="20"/>
          <w:szCs w:val="20"/>
        </w:rPr>
        <w:t>Source: Table STS004, SALT Data Return, 2017/18.</w:t>
      </w:r>
    </w:p>
    <w:p w:rsidR="000D5C6C" w:rsidRPr="00802D4E" w:rsidRDefault="000D5C6C" w:rsidP="006A31AE">
      <w:pPr>
        <w:spacing w:after="0" w:line="240" w:lineRule="auto"/>
        <w:outlineLvl w:val="1"/>
        <w:rPr>
          <w:rFonts w:ascii="Arial" w:eastAsia="Times New Roman" w:hAnsi="Arial" w:cs="Arial"/>
          <w:b/>
          <w:bCs/>
          <w:color w:val="000000" w:themeColor="text1"/>
          <w:sz w:val="24"/>
          <w:szCs w:val="24"/>
          <w:lang w:eastAsia="en-GB"/>
        </w:rPr>
      </w:pPr>
    </w:p>
    <w:p w:rsidR="007D5923" w:rsidRPr="00802D4E" w:rsidRDefault="007D5923" w:rsidP="006A31AE">
      <w:pPr>
        <w:spacing w:after="0" w:line="240" w:lineRule="auto"/>
        <w:outlineLvl w:val="1"/>
        <w:rPr>
          <w:rFonts w:ascii="Arial" w:eastAsia="Times New Roman" w:hAnsi="Arial" w:cs="Arial"/>
          <w:b/>
          <w:bCs/>
          <w:color w:val="000000" w:themeColor="text1"/>
          <w:sz w:val="24"/>
          <w:szCs w:val="24"/>
          <w:lang w:eastAsia="en-GB"/>
        </w:rPr>
      </w:pPr>
    </w:p>
    <w:p w:rsidR="00802D4E" w:rsidRDefault="00802D4E" w:rsidP="006A31AE">
      <w:pPr>
        <w:spacing w:after="0" w:line="240" w:lineRule="auto"/>
        <w:outlineLvl w:val="1"/>
        <w:rPr>
          <w:rFonts w:ascii="Arial" w:eastAsia="Times New Roman" w:hAnsi="Arial" w:cs="Arial"/>
          <w:b/>
          <w:bCs/>
          <w:color w:val="00B050"/>
          <w:sz w:val="28"/>
          <w:szCs w:val="24"/>
          <w:lang w:eastAsia="en-GB"/>
        </w:rPr>
      </w:pPr>
    </w:p>
    <w:p w:rsidR="00802D4E" w:rsidRDefault="00802D4E"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Residential and nursing care</w:t>
      </w:r>
    </w:p>
    <w:p w:rsidR="006A31AE" w:rsidRPr="006A31AE" w:rsidRDefault="006A31AE" w:rsidP="006A31AE">
      <w:pPr>
        <w:spacing w:after="0" w:line="276" w:lineRule="auto"/>
        <w:rPr>
          <w:rFonts w:ascii="Arial" w:eastAsia="Calibri" w:hAnsi="Arial" w:cs="Arial"/>
          <w:sz w:val="24"/>
          <w:szCs w:val="24"/>
          <w:lang w:eastAsia="en-GB"/>
        </w:rPr>
      </w:pPr>
    </w:p>
    <w:p w:rsidR="000404ED" w:rsidRDefault="000404ED" w:rsidP="000404ED">
      <w:pPr>
        <w:spacing w:after="0" w:line="240" w:lineRule="auto"/>
        <w:rPr>
          <w:rFonts w:ascii="Arial" w:eastAsia="Calibri" w:hAnsi="Arial" w:cs="Arial"/>
          <w:sz w:val="24"/>
          <w:szCs w:val="24"/>
        </w:rPr>
      </w:pPr>
      <w:r w:rsidRPr="000404ED">
        <w:rPr>
          <w:rFonts w:ascii="Arial" w:eastAsia="Calibri" w:hAnsi="Arial" w:cs="Arial"/>
          <w:sz w:val="24"/>
          <w:szCs w:val="24"/>
        </w:rPr>
        <w:t xml:space="preserve">During 2017/2018, there were 163 adults who had their long-term support needs met by a change </w:t>
      </w:r>
      <w:r>
        <w:rPr>
          <w:rFonts w:ascii="Arial" w:eastAsia="Calibri" w:hAnsi="Arial" w:cs="Arial"/>
          <w:sz w:val="24"/>
          <w:szCs w:val="24"/>
        </w:rPr>
        <w:t xml:space="preserve">of setting to residential and nursing care.  This excludes anyone who was </w:t>
      </w:r>
      <w:r w:rsidRPr="000404ED">
        <w:rPr>
          <w:rFonts w:ascii="Arial" w:eastAsia="Calibri" w:hAnsi="Arial" w:cs="Arial"/>
          <w:sz w:val="24"/>
          <w:szCs w:val="24"/>
        </w:rPr>
        <w:t>transfer</w:t>
      </w:r>
      <w:r>
        <w:rPr>
          <w:rFonts w:ascii="Arial" w:eastAsia="Calibri" w:hAnsi="Arial" w:cs="Arial"/>
          <w:sz w:val="24"/>
          <w:szCs w:val="24"/>
        </w:rPr>
        <w:t>red</w:t>
      </w:r>
      <w:r w:rsidRPr="000404ED">
        <w:rPr>
          <w:rFonts w:ascii="Arial" w:eastAsia="Calibri" w:hAnsi="Arial" w:cs="Arial"/>
          <w:sz w:val="24"/>
          <w:szCs w:val="24"/>
        </w:rPr>
        <w:t xml:space="preserve"> between residential and nursing care</w:t>
      </w:r>
      <w:r>
        <w:rPr>
          <w:rFonts w:ascii="Arial" w:eastAsia="Calibri" w:hAnsi="Arial" w:cs="Arial"/>
          <w:sz w:val="24"/>
          <w:szCs w:val="24"/>
        </w:rPr>
        <w:t>.</w:t>
      </w:r>
      <w:r w:rsidRPr="000404ED">
        <w:rPr>
          <w:rFonts w:ascii="Arial" w:eastAsia="Calibri" w:hAnsi="Arial" w:cs="Arial"/>
          <w:sz w:val="24"/>
          <w:szCs w:val="24"/>
        </w:rPr>
        <w:t xml:space="preserve"> </w:t>
      </w:r>
    </w:p>
    <w:p w:rsidR="000404ED" w:rsidRDefault="000404ED" w:rsidP="000404ED">
      <w:pPr>
        <w:spacing w:after="0" w:line="240" w:lineRule="auto"/>
        <w:rPr>
          <w:rFonts w:ascii="Arial" w:eastAsia="Calibri" w:hAnsi="Arial" w:cs="Arial"/>
          <w:sz w:val="24"/>
          <w:szCs w:val="24"/>
        </w:rPr>
      </w:pPr>
    </w:p>
    <w:p w:rsidR="006A31AE" w:rsidRPr="000404ED" w:rsidRDefault="006A31AE" w:rsidP="000404ED">
      <w:pPr>
        <w:spacing w:after="0" w:line="240" w:lineRule="auto"/>
        <w:rPr>
          <w:rFonts w:ascii="Arial" w:eastAsia="Calibri" w:hAnsi="Arial" w:cs="Arial"/>
          <w:sz w:val="24"/>
          <w:szCs w:val="24"/>
        </w:rPr>
      </w:pPr>
      <w:r w:rsidRPr="000404ED">
        <w:rPr>
          <w:rFonts w:ascii="Arial" w:eastAsia="Calibri" w:hAnsi="Arial" w:cs="Arial"/>
          <w:sz w:val="24"/>
          <w:szCs w:val="24"/>
        </w:rPr>
        <w:t xml:space="preserve">For adults aged 18-64 there were </w:t>
      </w:r>
      <w:r w:rsidR="000404ED" w:rsidRPr="000404ED">
        <w:rPr>
          <w:rFonts w:ascii="Arial" w:eastAsia="Calibri" w:hAnsi="Arial" w:cs="Arial"/>
          <w:sz w:val="24"/>
          <w:szCs w:val="24"/>
        </w:rPr>
        <w:t>8.0</w:t>
      </w:r>
      <w:r w:rsidRPr="000404ED">
        <w:rPr>
          <w:rFonts w:ascii="Arial" w:eastAsia="Calibri" w:hAnsi="Arial" w:cs="Arial"/>
          <w:sz w:val="24"/>
          <w:szCs w:val="24"/>
        </w:rPr>
        <w:t xml:space="preserve"> admissions </w:t>
      </w:r>
      <w:r w:rsidR="000404ED" w:rsidRPr="000404ED">
        <w:rPr>
          <w:rFonts w:ascii="Arial" w:eastAsia="Calibri" w:hAnsi="Arial" w:cs="Arial"/>
          <w:sz w:val="24"/>
          <w:szCs w:val="24"/>
        </w:rPr>
        <w:t xml:space="preserve">to residential and nursing care </w:t>
      </w:r>
      <w:r w:rsidRPr="000404ED">
        <w:rPr>
          <w:rFonts w:ascii="Arial" w:eastAsia="Calibri" w:hAnsi="Arial" w:cs="Arial"/>
          <w:sz w:val="24"/>
          <w:szCs w:val="24"/>
        </w:rPr>
        <w:t>per 100,000 population in Croydon, compared to 9.</w:t>
      </w:r>
      <w:r w:rsidR="000404ED" w:rsidRPr="000404ED">
        <w:rPr>
          <w:rFonts w:ascii="Arial" w:eastAsia="Calibri" w:hAnsi="Arial" w:cs="Arial"/>
          <w:sz w:val="24"/>
          <w:szCs w:val="24"/>
        </w:rPr>
        <w:t>6</w:t>
      </w:r>
      <w:r w:rsidRPr="000404ED">
        <w:rPr>
          <w:rFonts w:ascii="Arial" w:eastAsia="Calibri" w:hAnsi="Arial" w:cs="Arial"/>
          <w:sz w:val="24"/>
          <w:szCs w:val="24"/>
        </w:rPr>
        <w:t xml:space="preserve"> per 100,000 in London. For </w:t>
      </w:r>
      <w:r w:rsidR="000404ED" w:rsidRPr="000404ED">
        <w:rPr>
          <w:rFonts w:ascii="Arial" w:eastAsia="Calibri" w:hAnsi="Arial" w:cs="Arial"/>
          <w:sz w:val="24"/>
          <w:szCs w:val="24"/>
        </w:rPr>
        <w:t xml:space="preserve">older people </w:t>
      </w:r>
      <w:r w:rsidRPr="000404ED">
        <w:rPr>
          <w:rFonts w:ascii="Arial" w:eastAsia="Calibri" w:hAnsi="Arial" w:cs="Arial"/>
          <w:sz w:val="24"/>
          <w:szCs w:val="24"/>
        </w:rPr>
        <w:t xml:space="preserve">aged 65 and over there were </w:t>
      </w:r>
      <w:r w:rsidR="000404ED" w:rsidRPr="000404ED">
        <w:rPr>
          <w:rFonts w:ascii="Arial" w:eastAsia="Calibri" w:hAnsi="Arial" w:cs="Arial"/>
          <w:sz w:val="24"/>
          <w:szCs w:val="24"/>
        </w:rPr>
        <w:t xml:space="preserve">280.2 </w:t>
      </w:r>
      <w:r w:rsidRPr="000404ED">
        <w:rPr>
          <w:rFonts w:ascii="Arial" w:eastAsia="Calibri" w:hAnsi="Arial" w:cs="Arial"/>
          <w:sz w:val="24"/>
          <w:szCs w:val="24"/>
        </w:rPr>
        <w:t>admissions per 100,000 popu</w:t>
      </w:r>
      <w:r w:rsidR="000404ED" w:rsidRPr="000404ED">
        <w:rPr>
          <w:rFonts w:ascii="Arial" w:eastAsia="Calibri" w:hAnsi="Arial" w:cs="Arial"/>
          <w:sz w:val="24"/>
          <w:szCs w:val="24"/>
        </w:rPr>
        <w:t>lation in Croydon compared to 406.2</w:t>
      </w:r>
      <w:r w:rsidRPr="000404ED">
        <w:rPr>
          <w:rFonts w:ascii="Arial" w:eastAsia="Calibri" w:hAnsi="Arial" w:cs="Arial"/>
          <w:sz w:val="24"/>
          <w:szCs w:val="24"/>
        </w:rPr>
        <w:t xml:space="preserve"> per 100,000 in London.</w:t>
      </w:r>
    </w:p>
    <w:p w:rsidR="00895E3A" w:rsidRPr="000404ED" w:rsidRDefault="00895E3A" w:rsidP="000404ED">
      <w:pPr>
        <w:spacing w:after="200" w:line="276" w:lineRule="auto"/>
        <w:rPr>
          <w:rFonts w:ascii="Arial" w:eastAsia="Calibri" w:hAnsi="Arial" w:cs="Arial"/>
          <w:sz w:val="24"/>
          <w:szCs w:val="24"/>
        </w:rPr>
      </w:pPr>
    </w:p>
    <w:p w:rsidR="002F173F" w:rsidRPr="000404ED" w:rsidRDefault="002F173F" w:rsidP="006A31AE">
      <w:pPr>
        <w:spacing w:after="200" w:line="276" w:lineRule="auto"/>
        <w:rPr>
          <w:rFonts w:ascii="Arial" w:eastAsia="Calibri" w:hAnsi="Arial" w:cs="Arial"/>
          <w:sz w:val="24"/>
          <w:szCs w:val="24"/>
        </w:rPr>
      </w:pPr>
    </w:p>
    <w:p w:rsidR="00045B40" w:rsidRPr="000404ED" w:rsidRDefault="00045B40" w:rsidP="006A31AE">
      <w:pPr>
        <w:spacing w:after="200" w:line="276" w:lineRule="auto"/>
        <w:rPr>
          <w:rFonts w:ascii="Arial" w:eastAsia="Calibri" w:hAnsi="Arial" w:cs="Arial"/>
          <w:sz w:val="24"/>
          <w:szCs w:val="24"/>
        </w:rPr>
      </w:pPr>
    </w:p>
    <w:p w:rsidR="00267CB0" w:rsidRDefault="00267CB0" w:rsidP="006A31AE">
      <w:pPr>
        <w:spacing w:after="200" w:line="276" w:lineRule="auto"/>
        <w:rPr>
          <w:rFonts w:ascii="Arial" w:eastAsia="Calibri" w:hAnsi="Arial" w:cs="Arial"/>
          <w:color w:val="FF0000"/>
          <w:sz w:val="24"/>
          <w:szCs w:val="24"/>
        </w:rPr>
        <w:sectPr w:rsidR="00267CB0" w:rsidSect="006A31AE">
          <w:headerReference w:type="default" r:id="rId172"/>
          <w:footerReference w:type="default" r:id="rId173"/>
          <w:pgSz w:w="16838" w:h="11906" w:orient="landscape"/>
          <w:pgMar w:top="1440" w:right="1440" w:bottom="568" w:left="1440" w:header="708" w:footer="708" w:gutter="0"/>
          <w:cols w:num="2" w:space="708"/>
          <w:docGrid w:linePitch="360"/>
        </w:sectPr>
      </w:pPr>
    </w:p>
    <w:p w:rsidR="006A31AE" w:rsidRPr="007D5923"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Times New Roman" w:hAnsi="Arial" w:cs="Arial"/>
          <w:b/>
          <w:bCs/>
          <w:color w:val="701471"/>
          <w:sz w:val="32"/>
          <w:szCs w:val="28"/>
          <w:lang w:eastAsia="en-GB"/>
        </w:rPr>
      </w:pPr>
      <w:r w:rsidRPr="006A31AE">
        <w:rPr>
          <w:rFonts w:ascii="Arial" w:eastAsia="Times New Roman" w:hAnsi="Arial" w:cs="Arial"/>
          <w:b/>
          <w:bCs/>
          <w:noProof/>
          <w:color w:val="701471"/>
          <w:sz w:val="32"/>
          <w:szCs w:val="28"/>
          <w:lang w:eastAsia="en-GB"/>
        </w:rPr>
        <w:drawing>
          <wp:inline distT="0" distB="0" distL="0" distR="0" wp14:anchorId="568D1DDB" wp14:editId="7EBF4D6C">
            <wp:extent cx="895350" cy="609600"/>
            <wp:effectExtent l="19050" t="0" r="0" b="0"/>
            <wp:docPr id="4138"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8" cstate="print"/>
                    <a:srcRect/>
                    <a:stretch>
                      <a:fillRect/>
                    </a:stretch>
                  </pic:blipFill>
                  <pic:spPr bwMode="auto">
                    <a:xfrm>
                      <a:off x="0" y="0"/>
                      <a:ext cx="894011" cy="608689"/>
                    </a:xfrm>
                    <a:prstGeom prst="rect">
                      <a:avLst/>
                    </a:prstGeom>
                    <a:noFill/>
                    <a:ln w="9525">
                      <a:noFill/>
                      <a:miter lim="800000"/>
                      <a:headEnd/>
                      <a:tailEnd/>
                    </a:ln>
                    <a:effectLst/>
                  </pic:spPr>
                </pic:pic>
              </a:graphicData>
            </a:graphic>
          </wp:inline>
        </w:drawing>
      </w:r>
      <w:r w:rsidRPr="006A31AE">
        <w:rPr>
          <w:rFonts w:ascii="Arial" w:eastAsia="Times New Roman" w:hAnsi="Arial" w:cs="Arial"/>
          <w:b/>
          <w:bCs/>
          <w:color w:val="701471"/>
          <w:sz w:val="32"/>
          <w:szCs w:val="28"/>
          <w:lang w:eastAsia="en-GB"/>
        </w:rPr>
        <w:t xml:space="preserve"> </w:t>
      </w:r>
      <w:r w:rsidRPr="006A31AE">
        <w:rPr>
          <w:rFonts w:ascii="Arial" w:eastAsia="Times New Roman" w:hAnsi="Arial" w:cs="Arial"/>
          <w:b/>
          <w:bCs/>
          <w:color w:val="701471"/>
          <w:sz w:val="40"/>
          <w:szCs w:val="28"/>
          <w:lang w:eastAsia="en-GB"/>
        </w:rPr>
        <w:t>Community Safety</w:t>
      </w:r>
    </w:p>
    <w:p w:rsidR="006A31AE" w:rsidRPr="006A31AE" w:rsidRDefault="006A31AE" w:rsidP="006A31AE">
      <w:pPr>
        <w:spacing w:after="0" w:line="240" w:lineRule="auto"/>
        <w:rPr>
          <w:rFonts w:ascii="Arial" w:eastAsia="Times New Roman" w:hAnsi="Arial" w:cs="Arial"/>
          <w:bCs/>
          <w:color w:val="701471"/>
          <w:sz w:val="28"/>
          <w:szCs w:val="28"/>
          <w:lang w:eastAsia="en-GB"/>
        </w:rPr>
      </w:pPr>
      <w:r w:rsidRPr="006A31AE">
        <w:rPr>
          <w:rFonts w:ascii="Arial" w:eastAsia="Times New Roman" w:hAnsi="Arial" w:cs="Arial"/>
          <w:bCs/>
          <w:noProof/>
          <w:color w:val="701471"/>
          <w:sz w:val="28"/>
          <w:szCs w:val="28"/>
          <w:lang w:eastAsia="en-GB"/>
        </w:rPr>
        <mc:AlternateContent>
          <mc:Choice Requires="wps">
            <w:drawing>
              <wp:anchor distT="0" distB="0" distL="114300" distR="114300" simplePos="0" relativeHeight="251695104" behindDoc="0" locked="0" layoutInCell="1" allowOverlap="1" wp14:anchorId="0C0A1389" wp14:editId="799C2670">
                <wp:simplePos x="0" y="0"/>
                <wp:positionH relativeFrom="column">
                  <wp:posOffset>-28575</wp:posOffset>
                </wp:positionH>
                <wp:positionV relativeFrom="paragraph">
                  <wp:posOffset>128270</wp:posOffset>
                </wp:positionV>
                <wp:extent cx="3975735" cy="4946015"/>
                <wp:effectExtent l="0" t="0" r="24765" b="26035"/>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735" cy="4946015"/>
                        </a:xfrm>
                        <a:prstGeom prst="rect">
                          <a:avLst/>
                        </a:prstGeom>
                        <a:solidFill>
                          <a:srgbClr val="FFFFFF"/>
                        </a:solidFill>
                        <a:ln w="9525">
                          <a:solidFill>
                            <a:srgbClr val="000000"/>
                          </a:solidFill>
                          <a:miter lim="800000"/>
                          <a:headEnd/>
                          <a:tailEnd/>
                        </a:ln>
                      </wps:spPr>
                      <wps:txbx>
                        <w:txbxContent>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Areas of progress</w:t>
                            </w:r>
                          </w:p>
                          <w:p w:rsidR="00721450" w:rsidRPr="006C1B2B" w:rsidRDefault="00721450" w:rsidP="006A31AE">
                            <w:pPr>
                              <w:spacing w:after="0" w:line="240" w:lineRule="auto"/>
                              <w:rPr>
                                <w:rFonts w:eastAsia="Times New Roman"/>
                                <w:bCs/>
                                <w:color w:val="701471"/>
                                <w:sz w:val="28"/>
                                <w:szCs w:val="28"/>
                                <w:lang w:eastAsia="en-GB"/>
                              </w:rPr>
                            </w:pPr>
                          </w:p>
                          <w:p w:rsidR="00721450" w:rsidRPr="0060420F" w:rsidRDefault="00721450" w:rsidP="006A31AE">
                            <w:pPr>
                              <w:pStyle w:val="ListParagraph"/>
                              <w:numPr>
                                <w:ilvl w:val="0"/>
                                <w:numId w:val="1"/>
                              </w:numPr>
                              <w:spacing w:after="0" w:line="240" w:lineRule="auto"/>
                              <w:rPr>
                                <w:rFonts w:eastAsia="Times New Roman"/>
                                <w:bCs/>
                                <w:lang w:eastAsia="en-GB"/>
                              </w:rPr>
                            </w:pPr>
                            <w:r w:rsidRPr="0060420F">
                              <w:rPr>
                                <w:rFonts w:eastAsia="Times New Roman"/>
                                <w:bCs/>
                                <w:lang w:eastAsia="en-GB"/>
                              </w:rPr>
                              <w:t>The total number of notifiable offences in Croydon has risen in recent years but the rate of offences committed in Croydon is lower than the London average.</w:t>
                            </w:r>
                          </w:p>
                          <w:p w:rsidR="00721450" w:rsidRDefault="00721450" w:rsidP="006A31AE">
                            <w:pPr>
                              <w:pStyle w:val="ListParagraph"/>
                              <w:numPr>
                                <w:ilvl w:val="0"/>
                                <w:numId w:val="1"/>
                              </w:numPr>
                              <w:spacing w:after="0" w:line="240" w:lineRule="auto"/>
                              <w:rPr>
                                <w:rFonts w:eastAsia="Times New Roman"/>
                                <w:bCs/>
                                <w:lang w:eastAsia="en-GB"/>
                              </w:rPr>
                            </w:pPr>
                            <w:r w:rsidRPr="0019496D">
                              <w:rPr>
                                <w:rFonts w:eastAsia="Times New Roman"/>
                                <w:bCs/>
                                <w:lang w:eastAsia="en-GB"/>
                              </w:rPr>
                              <w:t>The number of gang flagged offences has decreased but there remains an issue around public perception of this issue.</w:t>
                            </w:r>
                          </w:p>
                          <w:p w:rsidR="00721450" w:rsidRPr="0019496D" w:rsidRDefault="00721450" w:rsidP="006A31AE">
                            <w:pPr>
                              <w:pStyle w:val="ListParagraph"/>
                              <w:numPr>
                                <w:ilvl w:val="0"/>
                                <w:numId w:val="1"/>
                              </w:numPr>
                              <w:spacing w:after="0" w:line="240" w:lineRule="auto"/>
                              <w:rPr>
                                <w:rFonts w:eastAsia="Times New Roman"/>
                                <w:bCs/>
                                <w:lang w:eastAsia="en-GB"/>
                              </w:rPr>
                            </w:pPr>
                            <w:r>
                              <w:rPr>
                                <w:rFonts w:eastAsia="Times New Roman"/>
                                <w:bCs/>
                                <w:lang w:eastAsia="en-GB"/>
                              </w:rPr>
                              <w:t>The number of hate crimes is decreasing.</w:t>
                            </w:r>
                          </w:p>
                          <w:p w:rsidR="00721450" w:rsidRPr="00FC32DA" w:rsidRDefault="00721450" w:rsidP="006A31AE">
                            <w:pPr>
                              <w:pStyle w:val="ListParagraph"/>
                              <w:numPr>
                                <w:ilvl w:val="0"/>
                                <w:numId w:val="1"/>
                              </w:numPr>
                              <w:spacing w:after="0" w:line="240" w:lineRule="auto"/>
                              <w:rPr>
                                <w:rFonts w:eastAsia="Times New Roman"/>
                                <w:bCs/>
                                <w:lang w:eastAsia="en-GB"/>
                              </w:rPr>
                            </w:pPr>
                            <w:r w:rsidRPr="0060420F">
                              <w:t>Croydon has moved from the 3</w:t>
                            </w:r>
                            <w:r w:rsidRPr="0060420F">
                              <w:rPr>
                                <w:vertAlign w:val="superscript"/>
                              </w:rPr>
                              <w:t>rd</w:t>
                            </w:r>
                            <w:r w:rsidRPr="0060420F">
                              <w:t xml:space="preserve"> highest rate of </w:t>
                            </w:r>
                            <w:r w:rsidRPr="00FC32DA">
                              <w:t>Domestic Abuse to the 10</w:t>
                            </w:r>
                            <w:r w:rsidRPr="00FC32DA">
                              <w:rPr>
                                <w:vertAlign w:val="superscript"/>
                              </w:rPr>
                              <w:t>th</w:t>
                            </w:r>
                            <w:r w:rsidRPr="00FC32DA">
                              <w:t xml:space="preserve"> highest in London.</w:t>
                            </w:r>
                          </w:p>
                          <w:p w:rsidR="00721450" w:rsidRPr="00FC32DA" w:rsidRDefault="00721450" w:rsidP="0060420F">
                            <w:pPr>
                              <w:pStyle w:val="ListParagraph"/>
                              <w:spacing w:after="0" w:line="240" w:lineRule="auto"/>
                              <w:rPr>
                                <w:rFonts w:eastAsia="Times New Roman"/>
                                <w:bCs/>
                                <w:lang w:eastAsia="en-GB"/>
                              </w:rPr>
                            </w:pPr>
                          </w:p>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Challenges</w:t>
                            </w:r>
                          </w:p>
                          <w:p w:rsidR="00721450" w:rsidRPr="006C1B2B" w:rsidRDefault="00721450" w:rsidP="006A31AE">
                            <w:pPr>
                              <w:spacing w:after="0" w:line="240" w:lineRule="auto"/>
                              <w:rPr>
                                <w:rFonts w:eastAsia="Times New Roman"/>
                                <w:bCs/>
                                <w:color w:val="701471"/>
                                <w:sz w:val="28"/>
                                <w:szCs w:val="28"/>
                                <w:lang w:eastAsia="en-GB"/>
                              </w:rPr>
                            </w:pPr>
                          </w:p>
                          <w:p w:rsidR="00721450" w:rsidRPr="0060420F" w:rsidRDefault="00721450" w:rsidP="006A31AE">
                            <w:pPr>
                              <w:pStyle w:val="ListParagraph"/>
                              <w:numPr>
                                <w:ilvl w:val="0"/>
                                <w:numId w:val="2"/>
                              </w:numPr>
                              <w:spacing w:after="0" w:line="240" w:lineRule="auto"/>
                            </w:pPr>
                            <w:r w:rsidRPr="0060420F">
                              <w:rPr>
                                <w:rFonts w:eastAsia="Times New Roman"/>
                                <w:bCs/>
                                <w:lang w:eastAsia="en-GB"/>
                              </w:rPr>
                              <w:t xml:space="preserve">Only 3 of the 7 MOPAC offences </w:t>
                            </w:r>
                            <w:r>
                              <w:rPr>
                                <w:rFonts w:eastAsia="Times New Roman"/>
                                <w:bCs/>
                                <w:lang w:eastAsia="en-GB"/>
                              </w:rPr>
                              <w:t xml:space="preserve">are </w:t>
                            </w:r>
                            <w:r w:rsidRPr="0060420F">
                              <w:rPr>
                                <w:rFonts w:eastAsia="Times New Roman"/>
                                <w:bCs/>
                                <w:lang w:eastAsia="en-GB"/>
                              </w:rPr>
                              <w:t>performing better than in the previous year.</w:t>
                            </w:r>
                          </w:p>
                          <w:p w:rsidR="00721450" w:rsidRPr="000912D6" w:rsidRDefault="00721450" w:rsidP="006A31AE">
                            <w:pPr>
                              <w:pStyle w:val="ListParagraph"/>
                              <w:numPr>
                                <w:ilvl w:val="0"/>
                                <w:numId w:val="2"/>
                              </w:numPr>
                              <w:spacing w:after="0" w:line="240" w:lineRule="auto"/>
                            </w:pPr>
                            <w:r w:rsidRPr="000912D6">
                              <w:rPr>
                                <w:rFonts w:eastAsia="Times New Roman"/>
                                <w:bCs/>
                                <w:lang w:eastAsia="en-GB"/>
                              </w:rPr>
                              <w:t>Knife crime is still an issue with around 30% resulting in injury or death.</w:t>
                            </w:r>
                          </w:p>
                          <w:p w:rsidR="00721450" w:rsidRPr="000912D6" w:rsidRDefault="00721450" w:rsidP="000912D6">
                            <w:pPr>
                              <w:pStyle w:val="ListParagraph"/>
                              <w:numPr>
                                <w:ilvl w:val="0"/>
                                <w:numId w:val="2"/>
                              </w:numPr>
                              <w:spacing w:after="0" w:line="240" w:lineRule="auto"/>
                            </w:pPr>
                            <w:r w:rsidRPr="000912D6">
                              <w:rPr>
                                <w:rFonts w:eastAsia="Times New Roman"/>
                                <w:bCs/>
                                <w:lang w:eastAsia="en-GB"/>
                              </w:rPr>
                              <w:t>The nu</w:t>
                            </w:r>
                            <w:r w:rsidRPr="000912D6">
                              <w:t>mber of victims o</w:t>
                            </w:r>
                            <w:r>
                              <w:t>f serious youth violence is</w:t>
                            </w:r>
                            <w:r w:rsidRPr="000912D6">
                              <w:t xml:space="preserve"> increasing.</w:t>
                            </w:r>
                          </w:p>
                          <w:p w:rsidR="00721450" w:rsidRPr="0019496D" w:rsidRDefault="00721450" w:rsidP="006A31AE">
                            <w:pPr>
                              <w:pStyle w:val="ListParagraph"/>
                              <w:numPr>
                                <w:ilvl w:val="0"/>
                                <w:numId w:val="2"/>
                              </w:numPr>
                            </w:pPr>
                            <w:r w:rsidRPr="0019496D">
                              <w:t>Higher rate of first time entrants to the criminal justice system than the London average.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0A1389" id="_x0000_s1088" type="#_x0000_t202" style="position:absolute;margin-left:-2.25pt;margin-top:10.1pt;width:313.05pt;height:389.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">
                <v:textbox>
                  <w:txbxContent>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Areas of progress</w:t>
                      </w:r>
                    </w:p>
                    <w:p w:rsidR="00721450" w:rsidRPr="006C1B2B" w:rsidRDefault="00721450" w:rsidP="006A31AE">
                      <w:pPr>
                        <w:spacing w:after="0" w:line="240" w:lineRule="auto"/>
                        <w:rPr>
                          <w:rFonts w:eastAsia="Times New Roman"/>
                          <w:bCs/>
                          <w:color w:val="701471"/>
                          <w:sz w:val="28"/>
                          <w:szCs w:val="28"/>
                          <w:lang w:eastAsia="en-GB"/>
                        </w:rPr>
                      </w:pPr>
                    </w:p>
                    <w:p w:rsidR="00721450" w:rsidRPr="0060420F" w:rsidRDefault="00721450" w:rsidP="006A31AE">
                      <w:pPr>
                        <w:pStyle w:val="ListParagraph"/>
                        <w:numPr>
                          <w:ilvl w:val="0"/>
                          <w:numId w:val="1"/>
                        </w:numPr>
                        <w:spacing w:after="0" w:line="240" w:lineRule="auto"/>
                        <w:rPr>
                          <w:rFonts w:eastAsia="Times New Roman"/>
                          <w:bCs/>
                          <w:lang w:eastAsia="en-GB"/>
                        </w:rPr>
                      </w:pPr>
                      <w:r w:rsidRPr="0060420F">
                        <w:rPr>
                          <w:rFonts w:eastAsia="Times New Roman"/>
                          <w:bCs/>
                          <w:lang w:eastAsia="en-GB"/>
                        </w:rPr>
                        <w:t>The total number of notifiable offences in Croydon has risen in recent years but the rate of offences committed in Croydon is lower than the London average.</w:t>
                      </w:r>
                    </w:p>
                    <w:p w:rsidR="00721450" w:rsidRDefault="00721450" w:rsidP="006A31AE">
                      <w:pPr>
                        <w:pStyle w:val="ListParagraph"/>
                        <w:numPr>
                          <w:ilvl w:val="0"/>
                          <w:numId w:val="1"/>
                        </w:numPr>
                        <w:spacing w:after="0" w:line="240" w:lineRule="auto"/>
                        <w:rPr>
                          <w:rFonts w:eastAsia="Times New Roman"/>
                          <w:bCs/>
                          <w:lang w:eastAsia="en-GB"/>
                        </w:rPr>
                      </w:pPr>
                      <w:r w:rsidRPr="0019496D">
                        <w:rPr>
                          <w:rFonts w:eastAsia="Times New Roman"/>
                          <w:bCs/>
                          <w:lang w:eastAsia="en-GB"/>
                        </w:rPr>
                        <w:t>The number of gang flagged offences has decreased but there remains an issue around public perception of this issue.</w:t>
                      </w:r>
                    </w:p>
                    <w:p w:rsidR="00721450" w:rsidRPr="0019496D" w:rsidRDefault="00721450" w:rsidP="006A31AE">
                      <w:pPr>
                        <w:pStyle w:val="ListParagraph"/>
                        <w:numPr>
                          <w:ilvl w:val="0"/>
                          <w:numId w:val="1"/>
                        </w:numPr>
                        <w:spacing w:after="0" w:line="240" w:lineRule="auto"/>
                        <w:rPr>
                          <w:rFonts w:eastAsia="Times New Roman"/>
                          <w:bCs/>
                          <w:lang w:eastAsia="en-GB"/>
                        </w:rPr>
                      </w:pPr>
                      <w:r>
                        <w:rPr>
                          <w:rFonts w:eastAsia="Times New Roman"/>
                          <w:bCs/>
                          <w:lang w:eastAsia="en-GB"/>
                        </w:rPr>
                        <w:t>The number of hate crimes is decreasing.</w:t>
                      </w:r>
                    </w:p>
                    <w:p w:rsidR="00721450" w:rsidRPr="00FC32DA" w:rsidRDefault="00721450" w:rsidP="006A31AE">
                      <w:pPr>
                        <w:pStyle w:val="ListParagraph"/>
                        <w:numPr>
                          <w:ilvl w:val="0"/>
                          <w:numId w:val="1"/>
                        </w:numPr>
                        <w:spacing w:after="0" w:line="240" w:lineRule="auto"/>
                        <w:rPr>
                          <w:rFonts w:eastAsia="Times New Roman"/>
                          <w:bCs/>
                          <w:lang w:eastAsia="en-GB"/>
                        </w:rPr>
                      </w:pPr>
                      <w:r w:rsidRPr="0060420F">
                        <w:t>Croydon has moved from the 3</w:t>
                      </w:r>
                      <w:r w:rsidRPr="0060420F">
                        <w:rPr>
                          <w:vertAlign w:val="superscript"/>
                        </w:rPr>
                        <w:t>rd</w:t>
                      </w:r>
                      <w:r w:rsidRPr="0060420F">
                        <w:t xml:space="preserve"> highest rate of </w:t>
                      </w:r>
                      <w:r w:rsidRPr="00FC32DA">
                        <w:t>Domestic Abuse to the 10</w:t>
                      </w:r>
                      <w:r w:rsidRPr="00FC32DA">
                        <w:rPr>
                          <w:vertAlign w:val="superscript"/>
                        </w:rPr>
                        <w:t>th</w:t>
                      </w:r>
                      <w:r w:rsidRPr="00FC32DA">
                        <w:t xml:space="preserve"> highest in London.</w:t>
                      </w:r>
                    </w:p>
                    <w:p w:rsidR="00721450" w:rsidRPr="00FC32DA" w:rsidRDefault="00721450" w:rsidP="0060420F">
                      <w:pPr>
                        <w:pStyle w:val="ListParagraph"/>
                        <w:spacing w:after="0" w:line="240" w:lineRule="auto"/>
                        <w:rPr>
                          <w:rFonts w:eastAsia="Times New Roman"/>
                          <w:bCs/>
                          <w:lang w:eastAsia="en-GB"/>
                        </w:rPr>
                      </w:pPr>
                    </w:p>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Challenges</w:t>
                      </w:r>
                    </w:p>
                    <w:p w:rsidR="00721450" w:rsidRPr="006C1B2B" w:rsidRDefault="00721450" w:rsidP="006A31AE">
                      <w:pPr>
                        <w:spacing w:after="0" w:line="240" w:lineRule="auto"/>
                        <w:rPr>
                          <w:rFonts w:eastAsia="Times New Roman"/>
                          <w:bCs/>
                          <w:color w:val="701471"/>
                          <w:sz w:val="28"/>
                          <w:szCs w:val="28"/>
                          <w:lang w:eastAsia="en-GB"/>
                        </w:rPr>
                      </w:pPr>
                    </w:p>
                    <w:p w:rsidR="00721450" w:rsidRPr="0060420F" w:rsidRDefault="00721450" w:rsidP="006A31AE">
                      <w:pPr>
                        <w:pStyle w:val="ListParagraph"/>
                        <w:numPr>
                          <w:ilvl w:val="0"/>
                          <w:numId w:val="2"/>
                        </w:numPr>
                        <w:spacing w:after="0" w:line="240" w:lineRule="auto"/>
                      </w:pPr>
                      <w:r w:rsidRPr="0060420F">
                        <w:rPr>
                          <w:rFonts w:eastAsia="Times New Roman"/>
                          <w:bCs/>
                          <w:lang w:eastAsia="en-GB"/>
                        </w:rPr>
                        <w:t xml:space="preserve">Only 3 of the 7 MOPAC offences </w:t>
                      </w:r>
                      <w:r>
                        <w:rPr>
                          <w:rFonts w:eastAsia="Times New Roman"/>
                          <w:bCs/>
                          <w:lang w:eastAsia="en-GB"/>
                        </w:rPr>
                        <w:t xml:space="preserve">are </w:t>
                      </w:r>
                      <w:r w:rsidRPr="0060420F">
                        <w:rPr>
                          <w:rFonts w:eastAsia="Times New Roman"/>
                          <w:bCs/>
                          <w:lang w:eastAsia="en-GB"/>
                        </w:rPr>
                        <w:t>performing better than in the previous year.</w:t>
                      </w:r>
                    </w:p>
                    <w:p w:rsidR="00721450" w:rsidRPr="000912D6" w:rsidRDefault="00721450" w:rsidP="006A31AE">
                      <w:pPr>
                        <w:pStyle w:val="ListParagraph"/>
                        <w:numPr>
                          <w:ilvl w:val="0"/>
                          <w:numId w:val="2"/>
                        </w:numPr>
                        <w:spacing w:after="0" w:line="240" w:lineRule="auto"/>
                      </w:pPr>
                      <w:r w:rsidRPr="000912D6">
                        <w:rPr>
                          <w:rFonts w:eastAsia="Times New Roman"/>
                          <w:bCs/>
                          <w:lang w:eastAsia="en-GB"/>
                        </w:rPr>
                        <w:t>Knife crime is still an issue with around 30% resulting in injury or death.</w:t>
                      </w:r>
                    </w:p>
                    <w:p w:rsidR="00721450" w:rsidRPr="000912D6" w:rsidRDefault="00721450" w:rsidP="000912D6">
                      <w:pPr>
                        <w:pStyle w:val="ListParagraph"/>
                        <w:numPr>
                          <w:ilvl w:val="0"/>
                          <w:numId w:val="2"/>
                        </w:numPr>
                        <w:spacing w:after="0" w:line="240" w:lineRule="auto"/>
                      </w:pPr>
                      <w:r w:rsidRPr="000912D6">
                        <w:rPr>
                          <w:rFonts w:eastAsia="Times New Roman"/>
                          <w:bCs/>
                          <w:lang w:eastAsia="en-GB"/>
                        </w:rPr>
                        <w:t>The nu</w:t>
                      </w:r>
                      <w:r w:rsidRPr="000912D6">
                        <w:t>mber of victims o</w:t>
                      </w:r>
                      <w:r>
                        <w:t>f serious youth violence is</w:t>
                      </w:r>
                      <w:r w:rsidRPr="000912D6">
                        <w:t xml:space="preserve"> increasing.</w:t>
                      </w:r>
                    </w:p>
                    <w:p w:rsidR="00721450" w:rsidRPr="0019496D" w:rsidRDefault="00721450" w:rsidP="006A31AE">
                      <w:pPr>
                        <w:pStyle w:val="ListParagraph"/>
                        <w:numPr>
                          <w:ilvl w:val="0"/>
                          <w:numId w:val="2"/>
                        </w:numPr>
                      </w:pPr>
                      <w:r w:rsidRPr="0019496D">
                        <w:t>Higher rate of first time entrants to the criminal justice system than the London average.</w:t>
                      </w:r>
                    </w:p>
                  </w:txbxContent>
                </v:textbox>
              </v:shape>
            </w:pict>
          </mc:Fallback>
        </mc:AlternateContent>
      </w:r>
    </w:p>
    <w:p w:rsidR="006A31AE" w:rsidRPr="006A31AE" w:rsidRDefault="006A31AE" w:rsidP="006A31AE">
      <w:pPr>
        <w:spacing w:after="0" w:line="240" w:lineRule="auto"/>
        <w:rPr>
          <w:rFonts w:ascii="Arial" w:eastAsia="Times New Roman" w:hAnsi="Arial" w:cs="Arial"/>
          <w:bCs/>
          <w:color w:val="701471"/>
          <w:sz w:val="28"/>
          <w:szCs w:val="28"/>
          <w:lang w:eastAsia="en-GB"/>
        </w:rPr>
      </w:pPr>
    </w:p>
    <w:p w:rsidR="006A31AE" w:rsidRPr="006A31AE" w:rsidRDefault="006A31AE" w:rsidP="006A31AE">
      <w:pPr>
        <w:spacing w:after="0" w:line="240" w:lineRule="auto"/>
        <w:rPr>
          <w:rFonts w:ascii="Arial" w:eastAsia="Times New Roman" w:hAnsi="Arial" w:cs="Arial"/>
          <w:bCs/>
          <w:color w:val="006600"/>
          <w:sz w:val="28"/>
          <w:szCs w:val="28"/>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Overview</w:t>
      </w:r>
    </w:p>
    <w:p w:rsidR="0033795D" w:rsidRDefault="0033795D" w:rsidP="006A31AE">
      <w:pPr>
        <w:spacing w:after="0" w:line="240" w:lineRule="auto"/>
        <w:rPr>
          <w:rFonts w:ascii="Arial" w:eastAsia="Times New Roman" w:hAnsi="Arial" w:cs="Arial"/>
          <w:bCs/>
          <w:sz w:val="24"/>
          <w:szCs w:val="24"/>
          <w:lang w:eastAsia="en-GB"/>
        </w:rPr>
      </w:pPr>
    </w:p>
    <w:p w:rsidR="006A31AE" w:rsidRPr="0033795D" w:rsidRDefault="006A31AE" w:rsidP="006A31AE">
      <w:pPr>
        <w:spacing w:after="0" w:line="240" w:lineRule="auto"/>
        <w:rPr>
          <w:rFonts w:ascii="Arial" w:eastAsia="Times New Roman" w:hAnsi="Arial" w:cs="Arial"/>
          <w:bCs/>
          <w:sz w:val="24"/>
          <w:szCs w:val="24"/>
          <w:lang w:eastAsia="en-GB"/>
        </w:rPr>
      </w:pPr>
      <w:r w:rsidRPr="0033795D">
        <w:rPr>
          <w:rFonts w:ascii="Arial" w:eastAsia="Times New Roman" w:hAnsi="Arial" w:cs="Arial"/>
          <w:bCs/>
          <w:sz w:val="24"/>
          <w:szCs w:val="24"/>
          <w:lang w:eastAsia="en-GB"/>
        </w:rPr>
        <w:t>Community safety remains a priority in Croydon. This section outlines the issues in the borough for key crime types and fly-tipping.</w:t>
      </w: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Total_notifiable_offences" w:history="1">
        <w:r w:rsidR="006A31AE" w:rsidRPr="006A31AE">
          <w:rPr>
            <w:rFonts w:ascii="Arial" w:eastAsia="Times New Roman" w:hAnsi="Arial" w:cs="Arial"/>
            <w:bCs/>
            <w:color w:val="0000FF"/>
            <w:sz w:val="24"/>
            <w:szCs w:val="24"/>
            <w:u w:val="single"/>
            <w:lang w:eastAsia="en-GB"/>
          </w:rPr>
          <w:t>Total notifiable offences</w:t>
        </w:r>
      </w:hyperlink>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MOPAC_7" w:history="1">
        <w:r w:rsidR="006A31AE" w:rsidRPr="006A31AE">
          <w:rPr>
            <w:rFonts w:ascii="Arial" w:eastAsia="Times New Roman" w:hAnsi="Arial" w:cs="Arial"/>
            <w:bCs/>
            <w:color w:val="0000FF"/>
            <w:sz w:val="24"/>
            <w:szCs w:val="24"/>
            <w:u w:val="single"/>
            <w:lang w:eastAsia="en-GB"/>
          </w:rPr>
          <w:t>MOPAC 7</w:t>
        </w:r>
      </w:hyperlink>
    </w:p>
    <w:p w:rsidR="006A31AE" w:rsidRPr="00D323BC"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Gang_crime_and" w:history="1">
        <w:r w:rsidR="006A31AE" w:rsidRPr="006A31AE">
          <w:rPr>
            <w:rFonts w:ascii="Arial" w:eastAsia="Times New Roman" w:hAnsi="Arial" w:cs="Arial"/>
            <w:bCs/>
            <w:color w:val="0000FF"/>
            <w:sz w:val="24"/>
            <w:szCs w:val="24"/>
            <w:u w:val="single"/>
            <w:lang w:eastAsia="en-GB"/>
          </w:rPr>
          <w:t>Gang crime and serious youth violence</w:t>
        </w:r>
      </w:hyperlink>
    </w:p>
    <w:p w:rsidR="00D323BC" w:rsidRPr="006A31AE" w:rsidRDefault="00D323BC" w:rsidP="006A31AE">
      <w:pPr>
        <w:numPr>
          <w:ilvl w:val="0"/>
          <w:numId w:val="5"/>
        </w:numPr>
        <w:spacing w:after="0" w:line="240" w:lineRule="auto"/>
        <w:contextualSpacing/>
        <w:rPr>
          <w:rFonts w:ascii="Arial" w:eastAsia="Times New Roman" w:hAnsi="Arial" w:cs="Arial"/>
          <w:bCs/>
          <w:sz w:val="24"/>
          <w:szCs w:val="24"/>
          <w:lang w:eastAsia="en-GB"/>
        </w:rPr>
      </w:pPr>
      <w:r>
        <w:rPr>
          <w:rFonts w:ascii="Arial" w:eastAsia="Times New Roman" w:hAnsi="Arial" w:cs="Arial"/>
          <w:bCs/>
          <w:color w:val="0000FF"/>
          <w:sz w:val="24"/>
          <w:szCs w:val="24"/>
          <w:u w:val="single"/>
          <w:lang w:eastAsia="en-GB"/>
        </w:rPr>
        <w:t>Knife crime</w:t>
      </w:r>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Hate_crime" w:history="1">
        <w:r w:rsidR="006A31AE" w:rsidRPr="006A31AE">
          <w:rPr>
            <w:rFonts w:ascii="Arial" w:eastAsia="Times New Roman" w:hAnsi="Arial" w:cs="Arial"/>
            <w:bCs/>
            <w:color w:val="0000FF"/>
            <w:sz w:val="24"/>
            <w:szCs w:val="24"/>
            <w:u w:val="single"/>
            <w:lang w:eastAsia="en-GB"/>
          </w:rPr>
          <w:t>Hate crime</w:t>
        </w:r>
      </w:hyperlink>
      <w:r w:rsidR="00190165">
        <w:rPr>
          <w:rFonts w:ascii="Arial" w:eastAsia="Times New Roman" w:hAnsi="Arial" w:cs="Arial"/>
          <w:bCs/>
          <w:color w:val="0000FF"/>
          <w:sz w:val="24"/>
          <w:szCs w:val="24"/>
          <w:u w:val="single"/>
          <w:lang w:eastAsia="en-GB"/>
        </w:rPr>
        <w:t>s</w:t>
      </w:r>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Domestic_abuse_and" w:history="1">
        <w:r w:rsidR="006A31AE" w:rsidRPr="006A31AE">
          <w:rPr>
            <w:rFonts w:ascii="Arial" w:eastAsia="Times New Roman" w:hAnsi="Arial" w:cs="Arial"/>
            <w:bCs/>
            <w:color w:val="0000FF"/>
            <w:sz w:val="24"/>
            <w:szCs w:val="24"/>
            <w:u w:val="single"/>
            <w:lang w:eastAsia="en-GB"/>
          </w:rPr>
          <w:t>Domestic abuse and sexual violence</w:t>
        </w:r>
      </w:hyperlink>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Antisocial_behaviour" w:history="1">
        <w:r w:rsidR="006A31AE" w:rsidRPr="006A31AE">
          <w:rPr>
            <w:rFonts w:ascii="Arial" w:eastAsia="Times New Roman" w:hAnsi="Arial" w:cs="Arial"/>
            <w:bCs/>
            <w:color w:val="0000FF"/>
            <w:sz w:val="24"/>
            <w:szCs w:val="24"/>
            <w:u w:val="single"/>
            <w:lang w:eastAsia="en-GB"/>
          </w:rPr>
          <w:t>Antisocial behaviour</w:t>
        </w:r>
      </w:hyperlink>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Youth_Offending" w:history="1">
        <w:r w:rsidR="006A31AE" w:rsidRPr="006A31AE">
          <w:rPr>
            <w:rFonts w:ascii="Arial" w:eastAsia="Times New Roman" w:hAnsi="Arial" w:cs="Arial"/>
            <w:bCs/>
            <w:color w:val="0000FF"/>
            <w:sz w:val="24"/>
            <w:szCs w:val="24"/>
            <w:u w:val="single"/>
            <w:lang w:eastAsia="en-GB"/>
          </w:rPr>
          <w:t>Youth offending</w:t>
        </w:r>
      </w:hyperlink>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Adult_Offending" w:history="1">
        <w:r w:rsidR="006A31AE" w:rsidRPr="006A31AE">
          <w:rPr>
            <w:rFonts w:ascii="Arial" w:eastAsia="Times New Roman" w:hAnsi="Arial" w:cs="Arial"/>
            <w:bCs/>
            <w:color w:val="0000FF"/>
            <w:sz w:val="24"/>
            <w:szCs w:val="24"/>
            <w:u w:val="single"/>
            <w:lang w:eastAsia="en-GB"/>
          </w:rPr>
          <w:t>Adult offending</w:t>
        </w:r>
      </w:hyperlink>
    </w:p>
    <w:p w:rsidR="006A31AE" w:rsidRDefault="006A31AE" w:rsidP="00190165">
      <w:pPr>
        <w:spacing w:after="0" w:line="240" w:lineRule="auto"/>
        <w:ind w:left="720"/>
        <w:contextualSpacing/>
        <w:rPr>
          <w:rFonts w:ascii="Arial" w:eastAsia="Times New Roman" w:hAnsi="Arial" w:cs="Arial"/>
          <w:bCs/>
          <w:sz w:val="24"/>
          <w:szCs w:val="24"/>
          <w:lang w:eastAsia="en-GB"/>
        </w:rPr>
      </w:pPr>
    </w:p>
    <w:p w:rsidR="006A50E0" w:rsidRDefault="006A50E0" w:rsidP="00190165">
      <w:pPr>
        <w:spacing w:after="0" w:line="240" w:lineRule="auto"/>
        <w:ind w:left="720"/>
        <w:contextualSpacing/>
        <w:rPr>
          <w:rFonts w:ascii="Arial" w:eastAsia="Times New Roman" w:hAnsi="Arial" w:cs="Arial"/>
          <w:bCs/>
          <w:sz w:val="24"/>
          <w:szCs w:val="24"/>
          <w:lang w:eastAsia="en-GB"/>
        </w:rPr>
      </w:pPr>
    </w:p>
    <w:p w:rsidR="00267CB0" w:rsidRPr="006A31AE" w:rsidRDefault="00267CB0"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Crime</w:t>
      </w:r>
    </w:p>
    <w:p w:rsidR="006A31AE" w:rsidRPr="006A31AE" w:rsidRDefault="006A31AE" w:rsidP="006A31AE">
      <w:pPr>
        <w:spacing w:after="0" w:line="240" w:lineRule="auto"/>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Total notifiable offences</w:t>
      </w:r>
    </w:p>
    <w:p w:rsidR="006A31AE" w:rsidRPr="006A31AE" w:rsidRDefault="006A31AE" w:rsidP="006A31AE">
      <w:pPr>
        <w:spacing w:after="0" w:line="240" w:lineRule="auto"/>
        <w:rPr>
          <w:rFonts w:ascii="Arial" w:eastAsia="Times New Roman" w:hAnsi="Arial" w:cs="Arial"/>
          <w:bCs/>
          <w:sz w:val="24"/>
          <w:szCs w:val="24"/>
          <w:lang w:eastAsia="en-GB"/>
        </w:rPr>
      </w:pPr>
    </w:p>
    <w:p w:rsidR="006B27A1" w:rsidRDefault="006A31AE" w:rsidP="006A31AE">
      <w:pPr>
        <w:spacing w:after="0" w:line="240" w:lineRule="auto"/>
        <w:rPr>
          <w:rFonts w:ascii="Arial" w:eastAsia="Times New Roman" w:hAnsi="Arial" w:cs="Arial"/>
          <w:bCs/>
          <w:sz w:val="24"/>
          <w:szCs w:val="24"/>
          <w:lang w:eastAsia="en-GB"/>
        </w:rPr>
      </w:pPr>
      <w:r w:rsidRPr="006B27A1">
        <w:rPr>
          <w:rFonts w:ascii="Arial" w:eastAsia="Times New Roman" w:hAnsi="Arial" w:cs="Arial"/>
          <w:bCs/>
          <w:sz w:val="24"/>
          <w:szCs w:val="24"/>
          <w:lang w:eastAsia="en-GB"/>
        </w:rPr>
        <w:t xml:space="preserve">The overall number of </w:t>
      </w:r>
      <w:r w:rsidR="002C7ACD">
        <w:rPr>
          <w:rFonts w:ascii="Arial" w:eastAsia="Times New Roman" w:hAnsi="Arial" w:cs="Arial"/>
          <w:bCs/>
          <w:sz w:val="24"/>
          <w:szCs w:val="24"/>
          <w:lang w:eastAsia="en-GB"/>
        </w:rPr>
        <w:t>offences</w:t>
      </w:r>
      <w:r w:rsidR="006B27A1">
        <w:rPr>
          <w:rFonts w:ascii="Arial" w:eastAsia="Times New Roman" w:hAnsi="Arial" w:cs="Arial"/>
          <w:bCs/>
          <w:sz w:val="24"/>
          <w:szCs w:val="24"/>
          <w:lang w:eastAsia="en-GB"/>
        </w:rPr>
        <w:t xml:space="preserve"> </w:t>
      </w:r>
      <w:r w:rsidRPr="006B27A1">
        <w:rPr>
          <w:rFonts w:ascii="Arial" w:eastAsia="Times New Roman" w:hAnsi="Arial" w:cs="Arial"/>
          <w:bCs/>
          <w:sz w:val="24"/>
          <w:szCs w:val="24"/>
          <w:lang w:eastAsia="en-GB"/>
        </w:rPr>
        <w:t xml:space="preserve">committed in Croydon has </w:t>
      </w:r>
      <w:r w:rsidR="002C7ACD">
        <w:rPr>
          <w:rFonts w:ascii="Arial" w:eastAsia="Times New Roman" w:hAnsi="Arial" w:cs="Arial"/>
          <w:bCs/>
          <w:sz w:val="24"/>
          <w:szCs w:val="24"/>
          <w:lang w:eastAsia="en-GB"/>
        </w:rPr>
        <w:t xml:space="preserve">fallen in recent years based on the last 10 financial years of reporting as seen in Figure 1.  </w:t>
      </w:r>
    </w:p>
    <w:p w:rsidR="007C0928" w:rsidRDefault="007C0928" w:rsidP="006A31AE">
      <w:pPr>
        <w:spacing w:after="0" w:line="240" w:lineRule="auto"/>
        <w:rPr>
          <w:rFonts w:ascii="Arial" w:eastAsia="Times New Roman" w:hAnsi="Arial" w:cs="Arial"/>
          <w:bCs/>
          <w:sz w:val="24"/>
          <w:szCs w:val="24"/>
          <w:u w:val="single"/>
          <w:lang w:eastAsia="en-GB"/>
        </w:rPr>
      </w:pPr>
    </w:p>
    <w:p w:rsidR="006A50E0" w:rsidRPr="006B27A1" w:rsidRDefault="006A50E0" w:rsidP="006A50E0">
      <w:pPr>
        <w:spacing w:after="0" w:line="240" w:lineRule="auto"/>
        <w:rPr>
          <w:rFonts w:ascii="Arial" w:eastAsia="Times New Roman" w:hAnsi="Arial" w:cs="Arial"/>
          <w:bCs/>
          <w:sz w:val="24"/>
          <w:szCs w:val="24"/>
          <w:lang w:eastAsia="en-GB"/>
        </w:rPr>
      </w:pPr>
      <w:r w:rsidRPr="006B27A1">
        <w:rPr>
          <w:rFonts w:ascii="Arial" w:eastAsia="Times New Roman" w:hAnsi="Arial" w:cs="Arial"/>
          <w:bCs/>
          <w:sz w:val="24"/>
          <w:szCs w:val="24"/>
          <w:lang w:eastAsia="en-GB"/>
        </w:rPr>
        <w:t xml:space="preserve">There is a high number of offences in Croydon but the borough has one of the largest populations in London which means that the overall rate of offences per 1,000 population in Croydon is not as high as other parts of London. </w:t>
      </w:r>
    </w:p>
    <w:p w:rsidR="00061F50" w:rsidRDefault="00061F50" w:rsidP="006A31AE">
      <w:pPr>
        <w:spacing w:after="0" w:line="240" w:lineRule="auto"/>
        <w:rPr>
          <w:rFonts w:ascii="Arial" w:eastAsia="Times New Roman" w:hAnsi="Arial" w:cs="Arial"/>
          <w:bCs/>
          <w:sz w:val="24"/>
          <w:szCs w:val="24"/>
          <w:u w:val="single"/>
          <w:lang w:eastAsia="en-GB"/>
        </w:rPr>
      </w:pPr>
    </w:p>
    <w:p w:rsidR="00061F50" w:rsidRDefault="006A50E0" w:rsidP="006A31AE">
      <w:pPr>
        <w:spacing w:after="0" w:line="240" w:lineRule="auto"/>
        <w:rPr>
          <w:rFonts w:ascii="Arial" w:eastAsia="Times New Roman" w:hAnsi="Arial" w:cs="Arial"/>
          <w:bCs/>
          <w:sz w:val="24"/>
          <w:szCs w:val="24"/>
          <w:u w:val="single"/>
          <w:lang w:eastAsia="en-GB"/>
        </w:rPr>
      </w:pPr>
      <w:r>
        <w:rPr>
          <w:rFonts w:ascii="Arial" w:eastAsia="Times New Roman" w:hAnsi="Arial" w:cs="Arial"/>
          <w:bCs/>
          <w:sz w:val="24"/>
          <w:szCs w:val="24"/>
          <w:u w:val="single"/>
          <w:lang w:eastAsia="en-GB"/>
        </w:rPr>
        <w:t>F</w:t>
      </w:r>
      <w:r w:rsidR="006A31AE" w:rsidRPr="007B5AAA">
        <w:rPr>
          <w:rFonts w:ascii="Arial" w:eastAsia="Times New Roman" w:hAnsi="Arial" w:cs="Arial"/>
          <w:bCs/>
          <w:sz w:val="24"/>
          <w:szCs w:val="24"/>
          <w:u w:val="single"/>
          <w:lang w:eastAsia="en-GB"/>
        </w:rPr>
        <w:t>igure 1 – Total notifiable offences</w:t>
      </w:r>
      <w:r w:rsidR="00505CBE">
        <w:rPr>
          <w:rFonts w:ascii="Arial" w:eastAsia="Times New Roman" w:hAnsi="Arial" w:cs="Arial"/>
          <w:bCs/>
          <w:sz w:val="24"/>
          <w:szCs w:val="24"/>
          <w:u w:val="single"/>
          <w:lang w:eastAsia="en-GB"/>
        </w:rPr>
        <w:t xml:space="preserve"> </w:t>
      </w:r>
      <w:r w:rsidR="002C7ACD">
        <w:rPr>
          <w:noProof/>
          <w:lang w:eastAsia="en-GB"/>
        </w:rPr>
        <w:drawing>
          <wp:inline distT="0" distB="0" distL="0" distR="0" wp14:anchorId="6555FB8C" wp14:editId="087A4B5F">
            <wp:extent cx="4008120" cy="2461260"/>
            <wp:effectExtent l="0" t="0" r="11430" b="15240"/>
            <wp:docPr id="2066" name="Chart 20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6A31AE" w:rsidRPr="000D5C6C" w:rsidRDefault="000D39B2" w:rsidP="00061F50">
      <w:pPr>
        <w:spacing w:before="120" w:after="0" w:line="240" w:lineRule="auto"/>
        <w:rPr>
          <w:rFonts w:ascii="Arial" w:eastAsia="Times New Roman" w:hAnsi="Arial" w:cs="Arial"/>
          <w:bCs/>
          <w:sz w:val="20"/>
          <w:szCs w:val="20"/>
          <w:lang w:eastAsia="en-GB"/>
        </w:rPr>
      </w:pPr>
      <w:r w:rsidRPr="000D5C6C">
        <w:rPr>
          <w:rFonts w:ascii="Arial" w:eastAsia="Times New Roman" w:hAnsi="Arial" w:cs="Arial"/>
          <w:bCs/>
          <w:sz w:val="20"/>
          <w:szCs w:val="20"/>
          <w:lang w:eastAsia="en-GB"/>
        </w:rPr>
        <w:t>So</w:t>
      </w:r>
      <w:r w:rsidR="00505CBE" w:rsidRPr="000D5C6C">
        <w:rPr>
          <w:rFonts w:ascii="Arial" w:eastAsia="Times New Roman" w:hAnsi="Arial" w:cs="Arial"/>
          <w:bCs/>
          <w:sz w:val="20"/>
          <w:szCs w:val="20"/>
          <w:lang w:eastAsia="en-GB"/>
        </w:rPr>
        <w:t xml:space="preserve">urce : </w:t>
      </w:r>
      <w:r w:rsidR="002C7ACD" w:rsidRPr="000D5C6C">
        <w:rPr>
          <w:rFonts w:ascii="Arial" w:eastAsia="Times New Roman" w:hAnsi="Arial" w:cs="Arial"/>
          <w:bCs/>
          <w:sz w:val="20"/>
          <w:szCs w:val="20"/>
          <w:lang w:eastAsia="en-GB"/>
        </w:rPr>
        <w:t>M</w:t>
      </w:r>
      <w:r w:rsidR="00505CBE" w:rsidRPr="000D5C6C">
        <w:rPr>
          <w:rFonts w:ascii="Arial" w:eastAsia="Times New Roman" w:hAnsi="Arial" w:cs="Arial"/>
          <w:bCs/>
          <w:sz w:val="20"/>
          <w:szCs w:val="20"/>
          <w:lang w:eastAsia="en-GB"/>
        </w:rPr>
        <w:t>PS</w:t>
      </w:r>
    </w:p>
    <w:p w:rsidR="006B27A1" w:rsidRDefault="006B27A1" w:rsidP="006A31AE">
      <w:pPr>
        <w:spacing w:after="0" w:line="240" w:lineRule="auto"/>
        <w:rPr>
          <w:rFonts w:ascii="Arial" w:eastAsia="Times New Roman" w:hAnsi="Arial" w:cs="Arial"/>
          <w:bCs/>
          <w:sz w:val="24"/>
          <w:szCs w:val="24"/>
          <w:lang w:eastAsia="en-GB"/>
        </w:rPr>
      </w:pPr>
    </w:p>
    <w:p w:rsidR="006A50E0" w:rsidRDefault="006A50E0" w:rsidP="006A31AE">
      <w:pPr>
        <w:spacing w:after="0" w:line="240" w:lineRule="auto"/>
        <w:rPr>
          <w:rFonts w:ascii="Arial" w:eastAsia="Times New Roman" w:hAnsi="Arial" w:cs="Arial"/>
          <w:bCs/>
          <w:sz w:val="24"/>
          <w:szCs w:val="24"/>
          <w:lang w:eastAsia="en-GB"/>
        </w:rPr>
      </w:pPr>
    </w:p>
    <w:p w:rsidR="006B27A1" w:rsidRDefault="006A31AE" w:rsidP="006A31AE">
      <w:pPr>
        <w:spacing w:after="0" w:line="240" w:lineRule="auto"/>
        <w:rPr>
          <w:rFonts w:ascii="Arial" w:eastAsia="Times New Roman" w:hAnsi="Arial" w:cs="Arial"/>
          <w:bCs/>
          <w:sz w:val="24"/>
          <w:szCs w:val="24"/>
          <w:lang w:eastAsia="en-GB"/>
        </w:rPr>
      </w:pPr>
      <w:r w:rsidRPr="001C26E7">
        <w:rPr>
          <w:rFonts w:ascii="Arial" w:eastAsia="Times New Roman" w:hAnsi="Arial" w:cs="Arial"/>
          <w:bCs/>
          <w:sz w:val="24"/>
          <w:szCs w:val="24"/>
          <w:lang w:eastAsia="en-GB"/>
        </w:rPr>
        <w:t xml:space="preserve">Figure 2 shows that the rate of </w:t>
      </w:r>
      <w:r w:rsidR="007C0928">
        <w:rPr>
          <w:rFonts w:ascii="Arial" w:eastAsia="Times New Roman" w:hAnsi="Arial" w:cs="Arial"/>
          <w:bCs/>
          <w:sz w:val="24"/>
          <w:szCs w:val="24"/>
          <w:lang w:eastAsia="en-GB"/>
        </w:rPr>
        <w:t xml:space="preserve">total notifiable offences </w:t>
      </w:r>
      <w:r w:rsidRPr="001C26E7">
        <w:rPr>
          <w:rFonts w:ascii="Arial" w:eastAsia="Times New Roman" w:hAnsi="Arial" w:cs="Arial"/>
          <w:bCs/>
          <w:sz w:val="24"/>
          <w:szCs w:val="24"/>
          <w:lang w:eastAsia="en-GB"/>
        </w:rPr>
        <w:t xml:space="preserve">in Croydon is </w:t>
      </w:r>
      <w:r w:rsidR="001C26E7" w:rsidRPr="001C26E7">
        <w:rPr>
          <w:rFonts w:ascii="Arial" w:eastAsia="Times New Roman" w:hAnsi="Arial" w:cs="Arial"/>
          <w:bCs/>
          <w:sz w:val="24"/>
          <w:szCs w:val="24"/>
          <w:lang w:eastAsia="en-GB"/>
        </w:rPr>
        <w:t xml:space="preserve">in the </w:t>
      </w:r>
      <w:r w:rsidR="001C26E7" w:rsidRPr="008C05A1">
        <w:rPr>
          <w:rFonts w:ascii="Arial" w:eastAsia="Times New Roman" w:hAnsi="Arial" w:cs="Arial"/>
          <w:bCs/>
          <w:sz w:val="24"/>
          <w:szCs w:val="24"/>
          <w:lang w:eastAsia="en-GB"/>
        </w:rPr>
        <w:t xml:space="preserve">bottom third of lowest rates across London.  </w:t>
      </w:r>
      <w:r w:rsidR="007C0928">
        <w:rPr>
          <w:rFonts w:ascii="Arial" w:eastAsia="Times New Roman" w:hAnsi="Arial" w:cs="Arial"/>
          <w:bCs/>
          <w:sz w:val="24"/>
          <w:szCs w:val="24"/>
          <w:lang w:eastAsia="en-GB"/>
        </w:rPr>
        <w:t>In fact, there</w:t>
      </w:r>
      <w:r w:rsidR="001C26E7" w:rsidRPr="008C05A1">
        <w:rPr>
          <w:rFonts w:ascii="Arial" w:eastAsia="Times New Roman" w:hAnsi="Arial" w:cs="Arial"/>
          <w:bCs/>
          <w:sz w:val="24"/>
          <w:szCs w:val="24"/>
          <w:lang w:eastAsia="en-GB"/>
        </w:rPr>
        <w:t xml:space="preserve"> are 11 inner London Coun</w:t>
      </w:r>
      <w:r w:rsidR="007C0928">
        <w:rPr>
          <w:rFonts w:ascii="Arial" w:eastAsia="Times New Roman" w:hAnsi="Arial" w:cs="Arial"/>
          <w:bCs/>
          <w:sz w:val="24"/>
          <w:szCs w:val="24"/>
          <w:lang w:eastAsia="en-GB"/>
        </w:rPr>
        <w:t xml:space="preserve">cils </w:t>
      </w:r>
      <w:r w:rsidR="00002606">
        <w:rPr>
          <w:rFonts w:ascii="Arial" w:eastAsia="Times New Roman" w:hAnsi="Arial" w:cs="Arial"/>
          <w:bCs/>
          <w:sz w:val="24"/>
          <w:szCs w:val="24"/>
          <w:lang w:eastAsia="en-GB"/>
        </w:rPr>
        <w:t xml:space="preserve">are amongst those with </w:t>
      </w:r>
      <w:r w:rsidR="007C0928">
        <w:rPr>
          <w:rFonts w:ascii="Arial" w:eastAsia="Times New Roman" w:hAnsi="Arial" w:cs="Arial"/>
          <w:bCs/>
          <w:sz w:val="24"/>
          <w:szCs w:val="24"/>
          <w:lang w:eastAsia="en-GB"/>
        </w:rPr>
        <w:t>the highest</w:t>
      </w:r>
      <w:r w:rsidR="001C26E7" w:rsidRPr="008C05A1">
        <w:rPr>
          <w:rFonts w:ascii="Arial" w:eastAsia="Times New Roman" w:hAnsi="Arial" w:cs="Arial"/>
          <w:bCs/>
          <w:sz w:val="24"/>
          <w:szCs w:val="24"/>
          <w:lang w:eastAsia="en-GB"/>
        </w:rPr>
        <w:t xml:space="preserve"> rates.  </w:t>
      </w:r>
    </w:p>
    <w:p w:rsidR="006B27A1" w:rsidRDefault="006B27A1" w:rsidP="006A31AE">
      <w:pPr>
        <w:spacing w:after="0" w:line="240" w:lineRule="auto"/>
        <w:rPr>
          <w:rFonts w:ascii="Arial" w:eastAsia="Times New Roman" w:hAnsi="Arial" w:cs="Arial"/>
          <w:bCs/>
          <w:sz w:val="24"/>
          <w:szCs w:val="24"/>
          <w:lang w:eastAsia="en-GB"/>
        </w:rPr>
      </w:pPr>
    </w:p>
    <w:p w:rsidR="006A31AE" w:rsidRPr="00267CB0" w:rsidRDefault="006A50E0" w:rsidP="006A31AE">
      <w:pPr>
        <w:spacing w:after="0" w:line="240" w:lineRule="auto"/>
        <w:rPr>
          <w:rFonts w:ascii="Arial" w:eastAsia="Times New Roman" w:hAnsi="Arial" w:cs="Arial"/>
          <w:bCs/>
          <w:sz w:val="24"/>
          <w:szCs w:val="24"/>
          <w:lang w:eastAsia="en-GB"/>
        </w:rPr>
      </w:pPr>
      <w:r>
        <w:rPr>
          <w:rFonts w:ascii="Arial" w:eastAsia="Times New Roman" w:hAnsi="Arial" w:cs="Arial"/>
          <w:bCs/>
          <w:sz w:val="24"/>
          <w:szCs w:val="24"/>
          <w:lang w:eastAsia="en-GB"/>
        </w:rPr>
        <w:t>C</w:t>
      </w:r>
      <w:r w:rsidR="006A31AE" w:rsidRPr="008C05A1">
        <w:rPr>
          <w:rFonts w:ascii="Arial" w:eastAsia="Times New Roman" w:hAnsi="Arial" w:cs="Arial"/>
          <w:bCs/>
          <w:sz w:val="24"/>
          <w:szCs w:val="24"/>
          <w:lang w:eastAsia="en-GB"/>
        </w:rPr>
        <w:t>roydon</w:t>
      </w:r>
      <w:r w:rsidR="008C05A1" w:rsidRPr="008C05A1">
        <w:rPr>
          <w:rFonts w:ascii="Arial" w:eastAsia="Times New Roman" w:hAnsi="Arial" w:cs="Arial"/>
          <w:bCs/>
          <w:sz w:val="24"/>
          <w:szCs w:val="24"/>
          <w:lang w:eastAsia="en-GB"/>
        </w:rPr>
        <w:t>, togeth</w:t>
      </w:r>
      <w:r w:rsidR="001C26E7" w:rsidRPr="008C05A1">
        <w:rPr>
          <w:rFonts w:ascii="Arial" w:eastAsia="Times New Roman" w:hAnsi="Arial" w:cs="Arial"/>
          <w:bCs/>
          <w:sz w:val="24"/>
          <w:szCs w:val="24"/>
          <w:lang w:eastAsia="en-GB"/>
        </w:rPr>
        <w:t>er with 20 other London Councils</w:t>
      </w:r>
      <w:r w:rsidR="008C05A1" w:rsidRPr="008C05A1">
        <w:rPr>
          <w:rFonts w:ascii="Arial" w:eastAsia="Times New Roman" w:hAnsi="Arial" w:cs="Arial"/>
          <w:bCs/>
          <w:sz w:val="24"/>
          <w:szCs w:val="24"/>
          <w:lang w:eastAsia="en-GB"/>
        </w:rPr>
        <w:t>,</w:t>
      </w:r>
      <w:r w:rsidR="001C26E7" w:rsidRPr="008C05A1">
        <w:rPr>
          <w:rFonts w:ascii="Arial" w:eastAsia="Times New Roman" w:hAnsi="Arial" w:cs="Arial"/>
          <w:bCs/>
          <w:sz w:val="24"/>
          <w:szCs w:val="24"/>
          <w:lang w:eastAsia="en-GB"/>
        </w:rPr>
        <w:t xml:space="preserve"> ha</w:t>
      </w:r>
      <w:r w:rsidR="008C05A1" w:rsidRPr="008C05A1">
        <w:rPr>
          <w:rFonts w:ascii="Arial" w:eastAsia="Times New Roman" w:hAnsi="Arial" w:cs="Arial"/>
          <w:bCs/>
          <w:sz w:val="24"/>
          <w:szCs w:val="24"/>
          <w:lang w:eastAsia="en-GB"/>
        </w:rPr>
        <w:t>s</w:t>
      </w:r>
      <w:r w:rsidR="001C26E7" w:rsidRPr="008C05A1">
        <w:rPr>
          <w:rFonts w:ascii="Arial" w:eastAsia="Times New Roman" w:hAnsi="Arial" w:cs="Arial"/>
          <w:bCs/>
          <w:sz w:val="24"/>
          <w:szCs w:val="24"/>
          <w:lang w:eastAsia="en-GB"/>
        </w:rPr>
        <w:t xml:space="preserve"> a lower rate of </w:t>
      </w:r>
      <w:r w:rsidR="007C0928">
        <w:rPr>
          <w:rFonts w:ascii="Arial" w:eastAsia="Times New Roman" w:hAnsi="Arial" w:cs="Arial"/>
          <w:bCs/>
          <w:sz w:val="24"/>
          <w:szCs w:val="24"/>
          <w:lang w:eastAsia="en-GB"/>
        </w:rPr>
        <w:t xml:space="preserve">TNOs </w:t>
      </w:r>
      <w:r w:rsidR="001C26E7" w:rsidRPr="008C05A1">
        <w:rPr>
          <w:rFonts w:ascii="Arial" w:eastAsia="Times New Roman" w:hAnsi="Arial" w:cs="Arial"/>
          <w:bCs/>
          <w:sz w:val="24"/>
          <w:szCs w:val="24"/>
          <w:lang w:eastAsia="en-GB"/>
        </w:rPr>
        <w:t xml:space="preserve">than </w:t>
      </w:r>
      <w:r w:rsidR="006A31AE" w:rsidRPr="008C05A1">
        <w:rPr>
          <w:rFonts w:ascii="Arial" w:eastAsia="Times New Roman" w:hAnsi="Arial" w:cs="Arial"/>
          <w:bCs/>
          <w:sz w:val="24"/>
          <w:szCs w:val="24"/>
          <w:lang w:eastAsia="en-GB"/>
        </w:rPr>
        <w:t xml:space="preserve">the London average. </w:t>
      </w:r>
      <w:r w:rsidR="001C26E7" w:rsidRPr="008C05A1">
        <w:rPr>
          <w:rFonts w:ascii="Arial" w:eastAsia="Times New Roman" w:hAnsi="Arial" w:cs="Arial"/>
          <w:bCs/>
          <w:sz w:val="24"/>
          <w:szCs w:val="24"/>
          <w:lang w:eastAsia="en-GB"/>
        </w:rPr>
        <w:t>This suggests that</w:t>
      </w:r>
      <w:r w:rsidR="007C0928">
        <w:rPr>
          <w:rFonts w:ascii="Arial" w:eastAsia="Times New Roman" w:hAnsi="Arial" w:cs="Arial"/>
          <w:bCs/>
          <w:sz w:val="24"/>
          <w:szCs w:val="24"/>
          <w:lang w:eastAsia="en-GB"/>
        </w:rPr>
        <w:t xml:space="preserve"> it is only</w:t>
      </w:r>
      <w:r w:rsidR="001C26E7" w:rsidRPr="008C05A1">
        <w:rPr>
          <w:rFonts w:ascii="Arial" w:eastAsia="Times New Roman" w:hAnsi="Arial" w:cs="Arial"/>
          <w:bCs/>
          <w:sz w:val="24"/>
          <w:szCs w:val="24"/>
          <w:lang w:eastAsia="en-GB"/>
        </w:rPr>
        <w:t xml:space="preserve"> a few inner London Councils such as Westminster,</w:t>
      </w:r>
      <w:r w:rsidR="0033795D">
        <w:rPr>
          <w:rFonts w:ascii="Arial" w:eastAsia="Times New Roman" w:hAnsi="Arial" w:cs="Arial"/>
          <w:bCs/>
          <w:sz w:val="24"/>
          <w:szCs w:val="24"/>
          <w:lang w:eastAsia="en-GB"/>
        </w:rPr>
        <w:t xml:space="preserve"> </w:t>
      </w:r>
      <w:r w:rsidR="001C26E7" w:rsidRPr="008C05A1">
        <w:rPr>
          <w:rFonts w:ascii="Arial" w:eastAsia="Times New Roman" w:hAnsi="Arial" w:cs="Arial"/>
          <w:bCs/>
          <w:sz w:val="24"/>
          <w:szCs w:val="24"/>
          <w:lang w:eastAsia="en-GB"/>
        </w:rPr>
        <w:t>Camden, Kensington and Chelsea and Islingt</w:t>
      </w:r>
      <w:r w:rsidR="008C05A1" w:rsidRPr="008C05A1">
        <w:rPr>
          <w:rFonts w:ascii="Arial" w:eastAsia="Times New Roman" w:hAnsi="Arial" w:cs="Arial"/>
          <w:bCs/>
          <w:sz w:val="24"/>
          <w:szCs w:val="24"/>
          <w:lang w:eastAsia="en-GB"/>
        </w:rPr>
        <w:t>on</w:t>
      </w:r>
      <w:r w:rsidR="007C0928">
        <w:rPr>
          <w:rFonts w:ascii="Arial" w:eastAsia="Times New Roman" w:hAnsi="Arial" w:cs="Arial"/>
          <w:bCs/>
          <w:sz w:val="24"/>
          <w:szCs w:val="24"/>
          <w:lang w:eastAsia="en-GB"/>
        </w:rPr>
        <w:t>,</w:t>
      </w:r>
      <w:r w:rsidR="008C05A1" w:rsidRPr="008C05A1">
        <w:rPr>
          <w:rFonts w:ascii="Arial" w:eastAsia="Times New Roman" w:hAnsi="Arial" w:cs="Arial"/>
          <w:bCs/>
          <w:sz w:val="24"/>
          <w:szCs w:val="24"/>
          <w:lang w:eastAsia="en-GB"/>
        </w:rPr>
        <w:t xml:space="preserve"> </w:t>
      </w:r>
      <w:r w:rsidR="007C0928">
        <w:rPr>
          <w:rFonts w:ascii="Arial" w:eastAsia="Times New Roman" w:hAnsi="Arial" w:cs="Arial"/>
          <w:bCs/>
          <w:sz w:val="24"/>
          <w:szCs w:val="24"/>
          <w:lang w:eastAsia="en-GB"/>
        </w:rPr>
        <w:t xml:space="preserve">with </w:t>
      </w:r>
      <w:r w:rsidR="008C05A1" w:rsidRPr="008C05A1">
        <w:rPr>
          <w:rFonts w:ascii="Arial" w:eastAsia="Times New Roman" w:hAnsi="Arial" w:cs="Arial"/>
          <w:bCs/>
          <w:sz w:val="24"/>
          <w:szCs w:val="24"/>
          <w:lang w:eastAsia="en-GB"/>
        </w:rPr>
        <w:t>high rates</w:t>
      </w:r>
      <w:r w:rsidR="007C0928">
        <w:rPr>
          <w:rFonts w:ascii="Arial" w:eastAsia="Times New Roman" w:hAnsi="Arial" w:cs="Arial"/>
          <w:bCs/>
          <w:sz w:val="24"/>
          <w:szCs w:val="24"/>
          <w:lang w:eastAsia="en-GB"/>
        </w:rPr>
        <w:t>, that are bringing up the London average.</w:t>
      </w:r>
    </w:p>
    <w:p w:rsidR="006A31AE" w:rsidRPr="00267CB0" w:rsidRDefault="006A31AE" w:rsidP="006A31AE">
      <w:pPr>
        <w:spacing w:after="0" w:line="240" w:lineRule="auto"/>
        <w:rPr>
          <w:rFonts w:ascii="Arial" w:eastAsia="Times New Roman" w:hAnsi="Arial" w:cs="Arial"/>
          <w:bCs/>
          <w:sz w:val="24"/>
          <w:szCs w:val="24"/>
          <w:lang w:eastAsia="en-GB"/>
        </w:rPr>
      </w:pPr>
    </w:p>
    <w:p w:rsidR="006A31AE" w:rsidRPr="00267CB0" w:rsidRDefault="006A31AE" w:rsidP="006A31AE">
      <w:pPr>
        <w:spacing w:after="0" w:line="240" w:lineRule="auto"/>
        <w:rPr>
          <w:rFonts w:ascii="Arial" w:eastAsia="Times New Roman" w:hAnsi="Arial" w:cs="Arial"/>
          <w:bCs/>
          <w:sz w:val="24"/>
          <w:szCs w:val="24"/>
          <w:lang w:eastAsia="en-GB"/>
        </w:rPr>
      </w:pPr>
    </w:p>
    <w:p w:rsidR="006A31AE" w:rsidRDefault="006A31AE" w:rsidP="006A31AE">
      <w:pPr>
        <w:spacing w:after="0" w:line="240" w:lineRule="auto"/>
        <w:rPr>
          <w:rFonts w:ascii="Arial" w:eastAsia="Times New Roman" w:hAnsi="Arial" w:cs="Arial"/>
          <w:bCs/>
          <w:sz w:val="24"/>
          <w:szCs w:val="24"/>
          <w:u w:val="single"/>
          <w:lang w:eastAsia="en-GB"/>
        </w:rPr>
      </w:pPr>
      <w:r w:rsidRPr="007B5AAA">
        <w:rPr>
          <w:rFonts w:ascii="Arial" w:eastAsia="Times New Roman" w:hAnsi="Arial" w:cs="Arial"/>
          <w:bCs/>
          <w:sz w:val="24"/>
          <w:szCs w:val="24"/>
          <w:u w:val="single"/>
          <w:lang w:eastAsia="en-GB"/>
        </w:rPr>
        <w:t xml:space="preserve">Figure 2 – Rate of total notifiable offences per 1,000 resident population </w:t>
      </w:r>
      <w:r w:rsidR="000448F1">
        <w:rPr>
          <w:rFonts w:ascii="Arial" w:eastAsia="Times New Roman" w:hAnsi="Arial" w:cs="Arial"/>
          <w:bCs/>
          <w:sz w:val="24"/>
          <w:szCs w:val="24"/>
          <w:u w:val="single"/>
          <w:lang w:eastAsia="en-GB"/>
        </w:rPr>
        <w:t>– October 2018</w:t>
      </w:r>
    </w:p>
    <w:p w:rsidR="00267CB0" w:rsidRPr="006A50E0" w:rsidRDefault="00267CB0" w:rsidP="006A31AE">
      <w:pPr>
        <w:spacing w:after="0" w:line="240" w:lineRule="auto"/>
        <w:rPr>
          <w:rFonts w:ascii="Arial" w:eastAsia="Times New Roman" w:hAnsi="Arial" w:cs="Arial"/>
          <w:bCs/>
          <w:sz w:val="16"/>
          <w:szCs w:val="16"/>
          <w:u w:val="single"/>
          <w:lang w:eastAsia="en-GB"/>
        </w:rPr>
      </w:pPr>
    </w:p>
    <w:p w:rsidR="006A31AE" w:rsidRPr="006A31AE" w:rsidRDefault="000448F1" w:rsidP="006A31AE">
      <w:pPr>
        <w:spacing w:after="0" w:line="240" w:lineRule="auto"/>
        <w:rPr>
          <w:rFonts w:ascii="Arial" w:eastAsia="Times New Roman" w:hAnsi="Arial" w:cs="Arial"/>
          <w:b/>
          <w:bCs/>
          <w:color w:val="00B050"/>
          <w:sz w:val="24"/>
          <w:szCs w:val="24"/>
          <w:lang w:eastAsia="en-GB"/>
        </w:rPr>
      </w:pPr>
      <w:r>
        <w:rPr>
          <w:noProof/>
          <w:lang w:eastAsia="en-GB"/>
        </w:rPr>
        <w:drawing>
          <wp:inline distT="0" distB="0" distL="0" distR="0" wp14:anchorId="435808E9" wp14:editId="01FC1C17">
            <wp:extent cx="4244340" cy="2263140"/>
            <wp:effectExtent l="0" t="0" r="3810" b="381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r w:rsidR="00505CBE" w:rsidRPr="006A50E0">
        <w:rPr>
          <w:rFonts w:ascii="Arial" w:eastAsia="Times New Roman" w:hAnsi="Arial" w:cs="Arial"/>
          <w:bCs/>
          <w:sz w:val="20"/>
          <w:szCs w:val="20"/>
          <w:lang w:eastAsia="en-GB"/>
        </w:rPr>
        <w:t>Source : MPS, Borough Volume and Trends dashboard</w:t>
      </w:r>
    </w:p>
    <w:p w:rsidR="006A31AE" w:rsidRPr="000D5C6C" w:rsidRDefault="006A31AE" w:rsidP="006A31AE">
      <w:pPr>
        <w:spacing w:after="0" w:line="240" w:lineRule="auto"/>
        <w:outlineLvl w:val="1"/>
        <w:rPr>
          <w:rFonts w:ascii="Arial" w:eastAsia="Times New Roman" w:hAnsi="Arial" w:cs="Arial"/>
          <w:b/>
          <w:bCs/>
          <w:sz w:val="28"/>
          <w:szCs w:val="24"/>
          <w:lang w:eastAsia="en-GB"/>
        </w:rPr>
      </w:pPr>
      <w:bookmarkStart w:id="28" w:name="_MOPAC_7"/>
      <w:bookmarkEnd w:id="28"/>
    </w:p>
    <w:p w:rsidR="002F173F" w:rsidRPr="006A31AE" w:rsidRDefault="002F173F" w:rsidP="006A31AE">
      <w:pPr>
        <w:spacing w:after="200" w:line="276" w:lineRule="auto"/>
        <w:rPr>
          <w:rFonts w:ascii="Arial" w:eastAsia="Calibri" w:hAnsi="Arial" w:cs="Arial"/>
          <w:sz w:val="24"/>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MOPAC 7</w:t>
      </w:r>
    </w:p>
    <w:p w:rsidR="006A31AE" w:rsidRPr="006A31AE" w:rsidRDefault="006A31AE"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 xml:space="preserve">The former 7 performance indicators from the Mayor’s Office for Policing and Crime (MOPAC) were monitored against targets set in terms of percentage reduction in the number of offence types compared to a 2012 baseline. </w:t>
      </w:r>
    </w:p>
    <w:p w:rsidR="006A31AE" w:rsidRPr="006A31AE" w:rsidRDefault="006A31AE" w:rsidP="006A31AE">
      <w:pPr>
        <w:spacing w:after="0" w:line="240" w:lineRule="auto"/>
        <w:rPr>
          <w:rFonts w:ascii="Arial" w:eastAsia="Times New Roman" w:hAnsi="Arial" w:cs="Arial"/>
          <w:bCs/>
          <w:sz w:val="24"/>
          <w:szCs w:val="24"/>
          <w:lang w:eastAsia="en-GB"/>
        </w:rPr>
      </w:pPr>
    </w:p>
    <w:p w:rsidR="004327FC" w:rsidRDefault="004327FC" w:rsidP="006A31AE">
      <w:pPr>
        <w:spacing w:after="0" w:line="240" w:lineRule="auto"/>
        <w:rPr>
          <w:rFonts w:ascii="Arial" w:eastAsia="Times New Roman" w:hAnsi="Arial" w:cs="Arial"/>
          <w:bCs/>
          <w:sz w:val="24"/>
          <w:szCs w:val="24"/>
          <w:lang w:eastAsia="en-GB"/>
        </w:rPr>
      </w:pPr>
    </w:p>
    <w:p w:rsidR="004327FC" w:rsidRDefault="004327FC"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In March 2016, the MOPAC 7 were no longer monitored in the same way.  The new London Mayor introduced a new Crime Plan. The indicators are still reported on a rolling 12 months basis but are measured against the average for each rolling 12 month period.</w:t>
      </w:r>
    </w:p>
    <w:p w:rsidR="006A31AE" w:rsidRPr="006A31AE" w:rsidRDefault="006A31AE"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For this report, the original MOPAC 7 will continue to be followed as they cover a range of criminal offences that affect the community in Croydon.</w:t>
      </w:r>
    </w:p>
    <w:p w:rsidR="006A31AE" w:rsidRPr="006A31AE" w:rsidRDefault="006A31AE"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rPr>
          <w:rFonts w:ascii="Arial" w:eastAsia="Calibri" w:hAnsi="Arial" w:cs="Arial"/>
          <w:sz w:val="24"/>
          <w:szCs w:val="24"/>
        </w:rPr>
      </w:pPr>
      <w:r w:rsidRPr="006A31AE">
        <w:rPr>
          <w:rFonts w:ascii="Arial" w:eastAsia="Times New Roman" w:hAnsi="Arial" w:cs="Arial"/>
          <w:bCs/>
          <w:sz w:val="24"/>
          <w:szCs w:val="24"/>
          <w:lang w:eastAsia="en-GB"/>
        </w:rPr>
        <w:t xml:space="preserve">The original 7 included burglary, criminal damage, robbery, theft from vehicles, theft of a vehicle, theft from a person and violence with injury. The latter is no longer available in the public domain so common assault will be reported instead. </w:t>
      </w:r>
    </w:p>
    <w:p w:rsidR="006A31AE" w:rsidRPr="00267CB0" w:rsidRDefault="006A31AE" w:rsidP="006A31AE">
      <w:pPr>
        <w:spacing w:after="0" w:line="240" w:lineRule="auto"/>
        <w:rPr>
          <w:rFonts w:ascii="Arial" w:eastAsia="Calibri" w:hAnsi="Arial" w:cs="Arial"/>
          <w:sz w:val="24"/>
          <w:szCs w:val="24"/>
        </w:rPr>
      </w:pPr>
    </w:p>
    <w:p w:rsidR="006A31AE" w:rsidRPr="00267CB0" w:rsidRDefault="006A31AE" w:rsidP="006A31AE">
      <w:pPr>
        <w:spacing w:after="0" w:line="240" w:lineRule="auto"/>
        <w:rPr>
          <w:rFonts w:ascii="Arial" w:eastAsia="Calibri" w:hAnsi="Arial" w:cs="Arial"/>
          <w:sz w:val="24"/>
          <w:szCs w:val="24"/>
        </w:rPr>
      </w:pPr>
    </w:p>
    <w:p w:rsidR="006A31AE" w:rsidRP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 xml:space="preserve">Figure 3 shows that the number of theft from vehicle offences has started to rise and is higher than the same period in the previous year and is also above the average in the previous year.  The latest figure for the rolling 12 months to the end of </w:t>
      </w:r>
      <w:r w:rsidR="009447F3">
        <w:rPr>
          <w:rFonts w:ascii="Arial" w:eastAsia="Times New Roman" w:hAnsi="Arial" w:cs="Arial"/>
          <w:bCs/>
          <w:sz w:val="24"/>
          <w:szCs w:val="24"/>
          <w:lang w:eastAsia="en-GB"/>
        </w:rPr>
        <w:t>Octo</w:t>
      </w:r>
      <w:r w:rsidRPr="006A31AE">
        <w:rPr>
          <w:rFonts w:ascii="Arial" w:eastAsia="Times New Roman" w:hAnsi="Arial" w:cs="Arial"/>
          <w:bCs/>
          <w:sz w:val="24"/>
          <w:szCs w:val="24"/>
          <w:lang w:eastAsia="en-GB"/>
        </w:rPr>
        <w:t>ber 2018 shows that there have been 2,</w:t>
      </w:r>
      <w:r w:rsidR="009447F3">
        <w:rPr>
          <w:rFonts w:ascii="Arial" w:eastAsia="Times New Roman" w:hAnsi="Arial" w:cs="Arial"/>
          <w:bCs/>
          <w:sz w:val="24"/>
          <w:szCs w:val="24"/>
          <w:lang w:eastAsia="en-GB"/>
        </w:rPr>
        <w:t>390</w:t>
      </w:r>
      <w:r w:rsidRPr="006A31AE">
        <w:rPr>
          <w:rFonts w:ascii="Arial" w:eastAsia="Times New Roman" w:hAnsi="Arial" w:cs="Arial"/>
          <w:bCs/>
          <w:sz w:val="24"/>
          <w:szCs w:val="24"/>
          <w:lang w:eastAsia="en-GB"/>
        </w:rPr>
        <w:t xml:space="preserve"> theft from vehicle offences in Croydon.</w:t>
      </w:r>
    </w:p>
    <w:p w:rsidR="006A31AE" w:rsidRDefault="006A31AE" w:rsidP="006A31AE">
      <w:pPr>
        <w:spacing w:after="0" w:line="240" w:lineRule="auto"/>
        <w:rPr>
          <w:rFonts w:ascii="Arial" w:eastAsia="Times New Roman" w:hAnsi="Arial" w:cs="Arial"/>
          <w:bCs/>
          <w:sz w:val="24"/>
          <w:szCs w:val="24"/>
          <w:lang w:eastAsia="en-GB"/>
        </w:rPr>
      </w:pPr>
    </w:p>
    <w:p w:rsidR="006A50E0" w:rsidRDefault="006A50E0" w:rsidP="006A31AE">
      <w:pPr>
        <w:spacing w:after="0" w:line="240" w:lineRule="auto"/>
        <w:rPr>
          <w:rFonts w:ascii="Arial" w:eastAsia="Times New Roman" w:hAnsi="Arial" w:cs="Arial"/>
          <w:bCs/>
          <w:sz w:val="24"/>
          <w:szCs w:val="24"/>
          <w:lang w:eastAsia="en-GB"/>
        </w:rPr>
      </w:pPr>
    </w:p>
    <w:p w:rsidR="006A50E0" w:rsidRDefault="006A50E0" w:rsidP="006A31AE">
      <w:pPr>
        <w:spacing w:after="0" w:line="240" w:lineRule="auto"/>
        <w:rPr>
          <w:rFonts w:ascii="Arial" w:eastAsia="Times New Roman" w:hAnsi="Arial" w:cs="Arial"/>
          <w:bCs/>
          <w:sz w:val="24"/>
          <w:szCs w:val="24"/>
          <w:lang w:eastAsia="en-GB"/>
        </w:rPr>
      </w:pPr>
    </w:p>
    <w:p w:rsidR="006A50E0" w:rsidRDefault="006A50E0" w:rsidP="006A31AE">
      <w:pPr>
        <w:spacing w:after="0" w:line="240" w:lineRule="auto"/>
        <w:rPr>
          <w:rFonts w:ascii="Arial" w:eastAsia="Times New Roman" w:hAnsi="Arial" w:cs="Arial"/>
          <w:bCs/>
          <w:sz w:val="24"/>
          <w:szCs w:val="24"/>
          <w:lang w:eastAsia="en-GB"/>
        </w:rPr>
      </w:pPr>
    </w:p>
    <w:p w:rsidR="004327FC" w:rsidRDefault="004327FC" w:rsidP="006A31AE">
      <w:pPr>
        <w:spacing w:after="0" w:line="240" w:lineRule="auto"/>
        <w:rPr>
          <w:rFonts w:ascii="Arial" w:eastAsia="Times New Roman" w:hAnsi="Arial" w:cs="Arial"/>
          <w:bCs/>
          <w:sz w:val="24"/>
          <w:szCs w:val="24"/>
          <w:lang w:eastAsia="en-GB"/>
        </w:rPr>
      </w:pPr>
    </w:p>
    <w:p w:rsidR="004327FC" w:rsidRDefault="004327FC" w:rsidP="006A31AE">
      <w:pPr>
        <w:spacing w:after="0" w:line="240" w:lineRule="auto"/>
        <w:rPr>
          <w:rFonts w:ascii="Arial" w:eastAsia="Times New Roman" w:hAnsi="Arial" w:cs="Arial"/>
          <w:bCs/>
          <w:sz w:val="24"/>
          <w:szCs w:val="24"/>
          <w:lang w:eastAsia="en-GB"/>
        </w:rPr>
      </w:pPr>
    </w:p>
    <w:p w:rsidR="006A50E0" w:rsidRPr="00267CB0" w:rsidRDefault="006A50E0" w:rsidP="006A31AE">
      <w:pPr>
        <w:spacing w:after="0" w:line="240" w:lineRule="auto"/>
        <w:rPr>
          <w:rFonts w:ascii="Arial" w:eastAsia="Times New Roman" w:hAnsi="Arial" w:cs="Arial"/>
          <w:bCs/>
          <w:sz w:val="24"/>
          <w:szCs w:val="24"/>
          <w:lang w:eastAsia="en-GB"/>
        </w:rPr>
      </w:pPr>
    </w:p>
    <w:p w:rsidR="006A31AE" w:rsidRPr="00267CB0" w:rsidRDefault="006A31AE" w:rsidP="006A31AE">
      <w:pPr>
        <w:spacing w:after="0" w:line="240" w:lineRule="auto"/>
        <w:rPr>
          <w:rFonts w:ascii="Arial" w:eastAsia="Times New Roman" w:hAnsi="Arial" w:cs="Arial"/>
          <w:bCs/>
          <w:sz w:val="24"/>
          <w:szCs w:val="24"/>
          <w:lang w:eastAsia="en-GB"/>
        </w:rPr>
      </w:pPr>
    </w:p>
    <w:p w:rsidR="004327FC" w:rsidRDefault="004327FC" w:rsidP="006A31AE">
      <w:pPr>
        <w:spacing w:after="0" w:line="240" w:lineRule="auto"/>
        <w:rPr>
          <w:rFonts w:ascii="Arial" w:eastAsia="Times New Roman" w:hAnsi="Arial" w:cs="Arial"/>
          <w:bCs/>
          <w:sz w:val="24"/>
          <w:szCs w:val="24"/>
          <w:u w:val="single"/>
          <w:lang w:eastAsia="en-GB"/>
        </w:rPr>
      </w:pPr>
    </w:p>
    <w:p w:rsidR="004327FC" w:rsidRDefault="004327FC" w:rsidP="006A31AE">
      <w:pPr>
        <w:spacing w:after="0" w:line="240" w:lineRule="auto"/>
        <w:rPr>
          <w:rFonts w:ascii="Arial" w:eastAsia="Times New Roman" w:hAnsi="Arial" w:cs="Arial"/>
          <w:bCs/>
          <w:sz w:val="24"/>
          <w:szCs w:val="24"/>
          <w:u w:val="single"/>
          <w:lang w:eastAsia="en-GB"/>
        </w:rPr>
      </w:pPr>
    </w:p>
    <w:p w:rsidR="004327FC" w:rsidRDefault="004327FC" w:rsidP="006A31AE">
      <w:pPr>
        <w:spacing w:after="0" w:line="240" w:lineRule="auto"/>
        <w:rPr>
          <w:rFonts w:ascii="Arial" w:eastAsia="Times New Roman" w:hAnsi="Arial" w:cs="Arial"/>
          <w:bCs/>
          <w:sz w:val="24"/>
          <w:szCs w:val="24"/>
          <w:u w:val="single"/>
          <w:lang w:eastAsia="en-GB"/>
        </w:rPr>
      </w:pPr>
    </w:p>
    <w:p w:rsidR="006A31AE" w:rsidRPr="007B5AAA" w:rsidRDefault="006A31AE" w:rsidP="006A31AE">
      <w:pPr>
        <w:spacing w:after="0" w:line="240" w:lineRule="auto"/>
        <w:rPr>
          <w:rFonts w:ascii="Arial" w:eastAsia="Times New Roman" w:hAnsi="Arial" w:cs="Arial"/>
          <w:bCs/>
          <w:sz w:val="24"/>
          <w:szCs w:val="24"/>
          <w:u w:val="single"/>
          <w:lang w:eastAsia="en-GB"/>
        </w:rPr>
      </w:pPr>
      <w:r w:rsidRPr="007B5AAA">
        <w:rPr>
          <w:rFonts w:ascii="Arial" w:eastAsia="Times New Roman" w:hAnsi="Arial" w:cs="Arial"/>
          <w:bCs/>
          <w:sz w:val="24"/>
          <w:szCs w:val="24"/>
          <w:u w:val="single"/>
          <w:lang w:eastAsia="en-GB"/>
        </w:rPr>
        <w:t>Figure 3 – Number of Theft from vehicle offences</w:t>
      </w:r>
    </w:p>
    <w:p w:rsidR="009447F3" w:rsidRDefault="009447F3" w:rsidP="006A31AE">
      <w:pPr>
        <w:spacing w:after="0" w:line="240" w:lineRule="auto"/>
        <w:rPr>
          <w:rFonts w:ascii="Arial" w:eastAsia="Calibri" w:hAnsi="Arial" w:cs="Arial"/>
          <w:noProof/>
          <w:sz w:val="24"/>
          <w:szCs w:val="24"/>
          <w:lang w:eastAsia="en-GB"/>
        </w:rPr>
      </w:pPr>
      <w:r w:rsidRPr="006A31AE">
        <w:rPr>
          <w:rFonts w:ascii="Arial" w:eastAsia="Calibri" w:hAnsi="Arial" w:cs="Arial"/>
          <w:noProof/>
          <w:sz w:val="24"/>
          <w:szCs w:val="24"/>
          <w:lang w:eastAsia="en-GB"/>
        </w:rPr>
        <w:t xml:space="preserve"> </w:t>
      </w:r>
    </w:p>
    <w:p w:rsidR="009447F3" w:rsidRDefault="009447F3" w:rsidP="006A31AE">
      <w:pPr>
        <w:spacing w:after="0" w:line="240" w:lineRule="auto"/>
        <w:rPr>
          <w:rFonts w:ascii="Arial" w:eastAsia="Calibri" w:hAnsi="Arial" w:cs="Arial"/>
          <w:noProof/>
          <w:sz w:val="24"/>
          <w:szCs w:val="24"/>
          <w:lang w:eastAsia="en-GB"/>
        </w:rPr>
      </w:pPr>
      <w:r>
        <w:rPr>
          <w:noProof/>
          <w:lang w:eastAsia="en-GB"/>
        </w:rPr>
        <w:drawing>
          <wp:inline distT="0" distB="0" distL="0" distR="0" wp14:anchorId="5A67F094" wp14:editId="6F7E9237">
            <wp:extent cx="4206875" cy="2732405"/>
            <wp:effectExtent l="0" t="0" r="3175" b="10795"/>
            <wp:docPr id="77" name="Chart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p w:rsidR="009447F3" w:rsidRPr="000D5C6C" w:rsidRDefault="006A31AE" w:rsidP="009447F3">
      <w:pPr>
        <w:spacing w:after="0" w:line="240" w:lineRule="auto"/>
        <w:rPr>
          <w:rFonts w:ascii="Arial" w:eastAsia="Times New Roman" w:hAnsi="Arial" w:cs="Arial"/>
          <w:b/>
          <w:bCs/>
          <w:sz w:val="20"/>
          <w:szCs w:val="20"/>
          <w:lang w:eastAsia="en-GB"/>
        </w:rPr>
      </w:pPr>
      <w:r w:rsidRPr="000D5C6C">
        <w:rPr>
          <w:rFonts w:ascii="Arial" w:eastAsia="Times New Roman" w:hAnsi="Arial" w:cs="Arial"/>
          <w:bCs/>
          <w:sz w:val="20"/>
          <w:szCs w:val="20"/>
          <w:lang w:eastAsia="en-GB"/>
        </w:rPr>
        <w:t xml:space="preserve">Source: </w:t>
      </w:r>
      <w:r w:rsidR="009447F3" w:rsidRPr="000D5C6C">
        <w:rPr>
          <w:rFonts w:ascii="Arial" w:eastAsia="Times New Roman" w:hAnsi="Arial" w:cs="Arial"/>
          <w:bCs/>
          <w:sz w:val="20"/>
          <w:szCs w:val="20"/>
          <w:lang w:eastAsia="en-GB"/>
        </w:rPr>
        <w:t>MPS, Borough Volume and Trends dashboard</w:t>
      </w:r>
    </w:p>
    <w:p w:rsidR="006A31AE" w:rsidRPr="000D5C6C" w:rsidRDefault="006A31AE"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rPr>
          <w:rFonts w:ascii="Arial" w:eastAsia="Times New Roman" w:hAnsi="Arial" w:cs="Arial"/>
          <w:bCs/>
          <w:sz w:val="24"/>
          <w:szCs w:val="24"/>
          <w:lang w:eastAsia="en-GB"/>
        </w:rPr>
      </w:pPr>
    </w:p>
    <w:p w:rsidR="00061F50" w:rsidRDefault="00061F50" w:rsidP="006A31AE">
      <w:pPr>
        <w:spacing w:after="0" w:line="240" w:lineRule="auto"/>
        <w:rPr>
          <w:rFonts w:ascii="Arial" w:eastAsia="Times New Roman" w:hAnsi="Arial" w:cs="Arial"/>
          <w:bCs/>
          <w:sz w:val="24"/>
          <w:szCs w:val="24"/>
          <w:lang w:eastAsia="en-GB"/>
        </w:rPr>
      </w:pPr>
    </w:p>
    <w:p w:rsidR="00061F50" w:rsidRDefault="00061F50" w:rsidP="006A31AE">
      <w:pPr>
        <w:spacing w:after="0" w:line="240" w:lineRule="auto"/>
        <w:rPr>
          <w:rFonts w:ascii="Arial" w:eastAsia="Times New Roman" w:hAnsi="Arial" w:cs="Arial"/>
          <w:bCs/>
          <w:sz w:val="24"/>
          <w:szCs w:val="24"/>
          <w:lang w:eastAsia="en-GB"/>
        </w:rPr>
      </w:pPr>
    </w:p>
    <w:p w:rsidR="004327FC" w:rsidRDefault="004327FC" w:rsidP="006A31AE">
      <w:pPr>
        <w:spacing w:after="0" w:line="240" w:lineRule="auto"/>
        <w:rPr>
          <w:rFonts w:ascii="Arial" w:eastAsia="Times New Roman" w:hAnsi="Arial" w:cs="Arial"/>
          <w:bCs/>
          <w:sz w:val="24"/>
          <w:szCs w:val="24"/>
          <w:lang w:eastAsia="en-GB"/>
        </w:rPr>
      </w:pPr>
    </w:p>
    <w:p w:rsidR="004327FC" w:rsidRDefault="004327FC" w:rsidP="006A31AE">
      <w:pPr>
        <w:spacing w:after="0" w:line="240" w:lineRule="auto"/>
        <w:rPr>
          <w:rFonts w:ascii="Arial" w:eastAsia="Times New Roman" w:hAnsi="Arial" w:cs="Arial"/>
          <w:bCs/>
          <w:sz w:val="24"/>
          <w:szCs w:val="24"/>
          <w:lang w:eastAsia="en-GB"/>
        </w:rPr>
      </w:pPr>
    </w:p>
    <w:p w:rsidR="004327FC" w:rsidRDefault="004327FC" w:rsidP="006A31AE">
      <w:pPr>
        <w:spacing w:after="0" w:line="240" w:lineRule="auto"/>
        <w:rPr>
          <w:rFonts w:ascii="Arial" w:eastAsia="Times New Roman" w:hAnsi="Arial" w:cs="Arial"/>
          <w:bCs/>
          <w:sz w:val="24"/>
          <w:szCs w:val="24"/>
          <w:lang w:eastAsia="en-GB"/>
        </w:rPr>
      </w:pPr>
    </w:p>
    <w:p w:rsidR="004327FC" w:rsidRDefault="004327FC" w:rsidP="006A31AE">
      <w:pPr>
        <w:spacing w:after="0" w:line="240" w:lineRule="auto"/>
        <w:rPr>
          <w:rFonts w:ascii="Arial" w:eastAsia="Times New Roman" w:hAnsi="Arial" w:cs="Arial"/>
          <w:bCs/>
          <w:sz w:val="24"/>
          <w:szCs w:val="24"/>
          <w:lang w:eastAsia="en-GB"/>
        </w:rPr>
      </w:pPr>
    </w:p>
    <w:p w:rsidR="004327FC" w:rsidRDefault="004327FC" w:rsidP="006A31AE">
      <w:pPr>
        <w:spacing w:after="0" w:line="240" w:lineRule="auto"/>
        <w:rPr>
          <w:rFonts w:ascii="Arial" w:eastAsia="Times New Roman" w:hAnsi="Arial" w:cs="Arial"/>
          <w:bCs/>
          <w:sz w:val="24"/>
          <w:szCs w:val="24"/>
          <w:lang w:eastAsia="en-GB"/>
        </w:rPr>
      </w:pPr>
    </w:p>
    <w:p w:rsidR="00061F50" w:rsidRDefault="00061F50" w:rsidP="006A31AE">
      <w:pPr>
        <w:spacing w:after="0" w:line="240" w:lineRule="auto"/>
        <w:rPr>
          <w:rFonts w:ascii="Arial" w:eastAsia="Times New Roman" w:hAnsi="Arial" w:cs="Arial"/>
          <w:bCs/>
          <w:sz w:val="24"/>
          <w:szCs w:val="24"/>
          <w:lang w:eastAsia="en-GB"/>
        </w:rPr>
      </w:pPr>
    </w:p>
    <w:p w:rsidR="00254D2E" w:rsidRPr="00254D2E" w:rsidRDefault="006A31AE" w:rsidP="00254D2E">
      <w:pPr>
        <w:spacing w:after="0" w:line="240" w:lineRule="auto"/>
        <w:rPr>
          <w:rFonts w:ascii="Arial" w:eastAsia="Times New Roman" w:hAnsi="Arial" w:cs="Arial"/>
          <w:bCs/>
          <w:sz w:val="24"/>
          <w:szCs w:val="24"/>
          <w:lang w:eastAsia="en-GB"/>
        </w:rPr>
      </w:pPr>
      <w:r w:rsidRPr="00254D2E">
        <w:rPr>
          <w:rFonts w:ascii="Arial" w:eastAsia="Times New Roman" w:hAnsi="Arial" w:cs="Arial"/>
          <w:bCs/>
          <w:sz w:val="24"/>
          <w:szCs w:val="24"/>
          <w:lang w:eastAsia="en-GB"/>
        </w:rPr>
        <w:t xml:space="preserve">Figure 4 shows that the number of theft of motor vehicle offences has been consistently around the 1,100 level over the last 18 months. </w:t>
      </w:r>
      <w:r w:rsidR="00BE7C52" w:rsidRPr="00254D2E">
        <w:rPr>
          <w:rFonts w:ascii="Arial" w:eastAsia="Times New Roman" w:hAnsi="Arial" w:cs="Arial"/>
          <w:bCs/>
          <w:sz w:val="24"/>
          <w:szCs w:val="24"/>
          <w:lang w:eastAsia="en-GB"/>
        </w:rPr>
        <w:t xml:space="preserve">The latest 12 months rolling figure to end of October 2018 has seen a slight increase to 1,154 of these offences.  There are </w:t>
      </w:r>
      <w:r w:rsidRPr="00254D2E">
        <w:rPr>
          <w:rFonts w:ascii="Arial" w:eastAsia="Times New Roman" w:hAnsi="Arial" w:cs="Arial"/>
          <w:bCs/>
          <w:sz w:val="24"/>
          <w:szCs w:val="24"/>
          <w:lang w:eastAsia="en-GB"/>
        </w:rPr>
        <w:t>more CCTV cameras dotted around the borough</w:t>
      </w:r>
      <w:r w:rsidR="00BE7C52" w:rsidRPr="00254D2E">
        <w:rPr>
          <w:rFonts w:ascii="Arial" w:eastAsia="Times New Roman" w:hAnsi="Arial" w:cs="Arial"/>
          <w:bCs/>
          <w:sz w:val="24"/>
          <w:szCs w:val="24"/>
          <w:lang w:eastAsia="en-GB"/>
        </w:rPr>
        <w:t xml:space="preserve"> so these may help as a deterrent.</w:t>
      </w:r>
      <w:r w:rsidR="00254D2E" w:rsidRPr="00254D2E">
        <w:rPr>
          <w:rFonts w:ascii="Arial" w:eastAsia="Times New Roman" w:hAnsi="Arial" w:cs="Arial"/>
          <w:bCs/>
          <w:sz w:val="24"/>
          <w:szCs w:val="24"/>
          <w:lang w:eastAsia="en-GB"/>
        </w:rPr>
        <w:t xml:space="preserve"> </w:t>
      </w:r>
      <w:r w:rsidR="00254D2E">
        <w:rPr>
          <w:rFonts w:ascii="Arial" w:eastAsia="Times New Roman" w:hAnsi="Arial" w:cs="Arial"/>
          <w:bCs/>
          <w:sz w:val="24"/>
          <w:szCs w:val="24"/>
          <w:lang w:eastAsia="en-GB"/>
        </w:rPr>
        <w:t>Also, drivers are u</w:t>
      </w:r>
      <w:r w:rsidR="00254D2E" w:rsidRPr="00254D2E">
        <w:rPr>
          <w:rFonts w:ascii="Arial" w:eastAsia="Times New Roman" w:hAnsi="Arial" w:cs="Arial"/>
          <w:bCs/>
          <w:sz w:val="24"/>
          <w:szCs w:val="24"/>
          <w:lang w:eastAsia="en-GB"/>
        </w:rPr>
        <w:t>sing their own car camera</w:t>
      </w:r>
      <w:r w:rsidR="00254D2E">
        <w:rPr>
          <w:rFonts w:ascii="Arial" w:eastAsia="Times New Roman" w:hAnsi="Arial" w:cs="Arial"/>
          <w:bCs/>
          <w:sz w:val="24"/>
          <w:szCs w:val="24"/>
          <w:lang w:eastAsia="en-GB"/>
        </w:rPr>
        <w:t>s which also would d</w:t>
      </w:r>
      <w:r w:rsidR="00254D2E" w:rsidRPr="00254D2E">
        <w:rPr>
          <w:rFonts w:ascii="Arial" w:eastAsia="Times New Roman" w:hAnsi="Arial" w:cs="Arial"/>
          <w:bCs/>
          <w:sz w:val="24"/>
          <w:szCs w:val="24"/>
          <w:lang w:eastAsia="en-GB"/>
        </w:rPr>
        <w:t xml:space="preserve">eter people from breaking into vehicles. </w:t>
      </w: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u w:val="single"/>
          <w:lang w:eastAsia="en-GB"/>
        </w:rPr>
      </w:pPr>
      <w:r w:rsidRPr="00FC32DA">
        <w:rPr>
          <w:rFonts w:ascii="Arial" w:eastAsia="Times New Roman" w:hAnsi="Arial" w:cs="Arial"/>
          <w:bCs/>
          <w:sz w:val="24"/>
          <w:szCs w:val="24"/>
          <w:u w:val="single"/>
          <w:lang w:eastAsia="en-GB"/>
        </w:rPr>
        <w:t>Figure 4 – Number of Theft of motor vehicle offences</w:t>
      </w:r>
    </w:p>
    <w:p w:rsidR="006A31AE" w:rsidRPr="00FC32DA" w:rsidRDefault="006A31AE" w:rsidP="006A31AE">
      <w:pPr>
        <w:spacing w:after="0" w:line="240" w:lineRule="auto"/>
        <w:rPr>
          <w:rFonts w:ascii="Arial" w:eastAsia="Times New Roman" w:hAnsi="Arial" w:cs="Arial"/>
          <w:bCs/>
          <w:sz w:val="24"/>
          <w:szCs w:val="24"/>
          <w:u w:val="single"/>
          <w:lang w:eastAsia="en-GB"/>
        </w:rPr>
      </w:pPr>
    </w:p>
    <w:p w:rsidR="006A31AE" w:rsidRPr="00FC32DA" w:rsidRDefault="009447F3" w:rsidP="006A31AE">
      <w:pPr>
        <w:spacing w:after="0" w:line="240" w:lineRule="auto"/>
        <w:rPr>
          <w:rFonts w:ascii="Arial" w:eastAsia="Calibri" w:hAnsi="Arial" w:cs="Arial"/>
          <w:noProof/>
          <w:sz w:val="24"/>
          <w:szCs w:val="24"/>
          <w:lang w:eastAsia="en-GB"/>
        </w:rPr>
      </w:pPr>
      <w:r w:rsidRPr="00FC32DA">
        <w:rPr>
          <w:noProof/>
          <w:lang w:eastAsia="en-GB"/>
        </w:rPr>
        <w:drawing>
          <wp:inline distT="0" distB="0" distL="0" distR="0" wp14:anchorId="35469C0B" wp14:editId="2D92D941">
            <wp:extent cx="4206875" cy="2844800"/>
            <wp:effectExtent l="0" t="0" r="3175" b="12700"/>
            <wp:docPr id="103" name="Chart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rsidR="009447F3" w:rsidRPr="000D5C6C" w:rsidRDefault="006A31AE" w:rsidP="009447F3">
      <w:pPr>
        <w:spacing w:after="0" w:line="240" w:lineRule="auto"/>
        <w:rPr>
          <w:rFonts w:ascii="Arial" w:eastAsia="Times New Roman" w:hAnsi="Arial" w:cs="Arial"/>
          <w:b/>
          <w:bCs/>
          <w:sz w:val="20"/>
          <w:szCs w:val="20"/>
          <w:lang w:eastAsia="en-GB"/>
        </w:rPr>
      </w:pPr>
      <w:r w:rsidRPr="000D5C6C">
        <w:rPr>
          <w:rFonts w:ascii="Arial" w:eastAsia="Times New Roman" w:hAnsi="Arial" w:cs="Arial"/>
          <w:bCs/>
          <w:sz w:val="20"/>
          <w:szCs w:val="20"/>
          <w:lang w:eastAsia="en-GB"/>
        </w:rPr>
        <w:t xml:space="preserve">Source: </w:t>
      </w:r>
      <w:r w:rsidR="009447F3" w:rsidRPr="000D5C6C">
        <w:rPr>
          <w:rFonts w:ascii="Arial" w:eastAsia="Times New Roman" w:hAnsi="Arial" w:cs="Arial"/>
          <w:bCs/>
          <w:sz w:val="20"/>
          <w:szCs w:val="20"/>
          <w:lang w:eastAsia="en-GB"/>
        </w:rPr>
        <w:t>MPS, Borough Volume and Trends dashboard</w:t>
      </w: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82023">
      <w:pPr>
        <w:spacing w:after="0" w:line="240" w:lineRule="auto"/>
        <w:rPr>
          <w:rFonts w:ascii="Arial" w:eastAsia="Times New Roman" w:hAnsi="Arial" w:cs="Arial"/>
          <w:bCs/>
          <w:sz w:val="24"/>
          <w:szCs w:val="24"/>
          <w:lang w:eastAsia="en-GB"/>
        </w:rPr>
      </w:pPr>
      <w:r w:rsidRPr="00682023">
        <w:rPr>
          <w:rFonts w:ascii="Arial" w:eastAsia="Times New Roman" w:hAnsi="Arial" w:cs="Arial"/>
          <w:bCs/>
          <w:sz w:val="24"/>
          <w:szCs w:val="24"/>
          <w:lang w:eastAsia="en-GB"/>
        </w:rPr>
        <w:t xml:space="preserve">Figure 5 shows that the number of robbery offences in Croydon has gone down on the same period last year.  The last </w:t>
      </w:r>
      <w:r w:rsidR="001E290A" w:rsidRPr="00682023">
        <w:rPr>
          <w:rFonts w:ascii="Arial" w:eastAsia="Times New Roman" w:hAnsi="Arial" w:cs="Arial"/>
          <w:bCs/>
          <w:sz w:val="24"/>
          <w:szCs w:val="24"/>
          <w:lang w:eastAsia="en-GB"/>
        </w:rPr>
        <w:t>7</w:t>
      </w:r>
      <w:r w:rsidRPr="00682023">
        <w:rPr>
          <w:rFonts w:ascii="Arial" w:eastAsia="Times New Roman" w:hAnsi="Arial" w:cs="Arial"/>
          <w:bCs/>
          <w:sz w:val="24"/>
          <w:szCs w:val="24"/>
          <w:lang w:eastAsia="en-GB"/>
        </w:rPr>
        <w:t xml:space="preserve"> rolling 12 months show that the number of robberies has stabilised at around 1,000.  This is a positive start</w:t>
      </w:r>
      <w:r w:rsidR="00622074">
        <w:rPr>
          <w:rFonts w:ascii="Arial" w:eastAsia="Times New Roman" w:hAnsi="Arial" w:cs="Arial"/>
          <w:bCs/>
          <w:sz w:val="24"/>
          <w:szCs w:val="24"/>
          <w:lang w:eastAsia="en-GB"/>
        </w:rPr>
        <w:t xml:space="preserve"> and it will be interesting to see if it continues the same for the rest of the year.</w:t>
      </w: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u w:val="single"/>
          <w:lang w:eastAsia="en-GB"/>
        </w:rPr>
      </w:pPr>
      <w:r w:rsidRPr="00FC32DA">
        <w:rPr>
          <w:rFonts w:ascii="Arial" w:eastAsia="Times New Roman" w:hAnsi="Arial" w:cs="Arial"/>
          <w:bCs/>
          <w:sz w:val="24"/>
          <w:szCs w:val="24"/>
          <w:u w:val="single"/>
          <w:lang w:eastAsia="en-GB"/>
        </w:rPr>
        <w:t>Figure 5 – Number of Robbery offences</w:t>
      </w:r>
    </w:p>
    <w:p w:rsidR="006A31AE" w:rsidRPr="00FC32DA" w:rsidRDefault="006A31AE" w:rsidP="006A31AE">
      <w:pPr>
        <w:spacing w:after="0" w:line="240" w:lineRule="auto"/>
        <w:rPr>
          <w:rFonts w:ascii="Arial" w:eastAsia="Times New Roman" w:hAnsi="Arial" w:cs="Arial"/>
          <w:bCs/>
          <w:noProof/>
          <w:sz w:val="24"/>
          <w:szCs w:val="24"/>
          <w:lang w:eastAsia="en-GB"/>
        </w:rPr>
      </w:pPr>
    </w:p>
    <w:p w:rsidR="001E290A" w:rsidRPr="00FC32DA" w:rsidRDefault="001E290A" w:rsidP="006A31AE">
      <w:pPr>
        <w:spacing w:after="0" w:line="240" w:lineRule="auto"/>
        <w:rPr>
          <w:rFonts w:ascii="Arial" w:eastAsia="Calibri" w:hAnsi="Arial" w:cs="Arial"/>
          <w:noProof/>
          <w:sz w:val="24"/>
          <w:szCs w:val="24"/>
          <w:lang w:eastAsia="en-GB"/>
        </w:rPr>
      </w:pPr>
      <w:r w:rsidRPr="00FC32DA">
        <w:rPr>
          <w:noProof/>
          <w:lang w:eastAsia="en-GB"/>
        </w:rPr>
        <w:drawing>
          <wp:inline distT="0" distB="0" distL="0" distR="0" wp14:anchorId="4A481D94" wp14:editId="7F47ADE8">
            <wp:extent cx="4206875" cy="2844800"/>
            <wp:effectExtent l="0" t="0" r="3175" b="12700"/>
            <wp:docPr id="104" name="Chart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8"/>
              </a:graphicData>
            </a:graphic>
          </wp:inline>
        </w:drawing>
      </w:r>
    </w:p>
    <w:p w:rsidR="009447F3" w:rsidRPr="000D5C6C" w:rsidRDefault="006A31AE" w:rsidP="009447F3">
      <w:pPr>
        <w:spacing w:after="0" w:line="240" w:lineRule="auto"/>
        <w:rPr>
          <w:rFonts w:ascii="Arial" w:eastAsia="Times New Roman" w:hAnsi="Arial" w:cs="Arial"/>
          <w:b/>
          <w:bCs/>
          <w:sz w:val="20"/>
          <w:szCs w:val="20"/>
          <w:lang w:eastAsia="en-GB"/>
        </w:rPr>
      </w:pPr>
      <w:r w:rsidRPr="000D5C6C">
        <w:rPr>
          <w:rFonts w:ascii="Arial" w:eastAsia="Times New Roman" w:hAnsi="Arial" w:cs="Arial"/>
          <w:bCs/>
          <w:sz w:val="20"/>
          <w:szCs w:val="20"/>
          <w:lang w:eastAsia="en-GB"/>
        </w:rPr>
        <w:t xml:space="preserve">Source: </w:t>
      </w:r>
      <w:r w:rsidR="009447F3" w:rsidRPr="000D5C6C">
        <w:rPr>
          <w:rFonts w:ascii="Arial" w:eastAsia="Times New Roman" w:hAnsi="Arial" w:cs="Arial"/>
          <w:bCs/>
          <w:sz w:val="20"/>
          <w:szCs w:val="20"/>
          <w:lang w:eastAsia="en-GB"/>
        </w:rPr>
        <w:t>MPS, Borough Volume and Trends dashboard</w:t>
      </w:r>
    </w:p>
    <w:p w:rsidR="006A31AE" w:rsidRPr="000D5C6C" w:rsidRDefault="006A31AE" w:rsidP="006A31AE">
      <w:pPr>
        <w:spacing w:after="0" w:line="240" w:lineRule="auto"/>
        <w:rPr>
          <w:rFonts w:ascii="Arial" w:eastAsia="Times New Roman" w:hAnsi="Arial" w:cs="Arial"/>
          <w:bCs/>
          <w:sz w:val="20"/>
          <w:szCs w:val="20"/>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932385" w:rsidRDefault="00932385" w:rsidP="006A31AE">
      <w:pPr>
        <w:spacing w:after="0" w:line="240" w:lineRule="auto"/>
        <w:rPr>
          <w:rFonts w:ascii="Arial" w:eastAsia="Times New Roman" w:hAnsi="Arial" w:cs="Arial"/>
          <w:bCs/>
          <w:sz w:val="24"/>
          <w:szCs w:val="24"/>
          <w:lang w:eastAsia="en-GB"/>
        </w:rPr>
      </w:pPr>
    </w:p>
    <w:p w:rsidR="00D319D8" w:rsidRDefault="00D319D8" w:rsidP="006A31AE">
      <w:pPr>
        <w:spacing w:after="0" w:line="240" w:lineRule="auto"/>
        <w:rPr>
          <w:rFonts w:ascii="Arial" w:eastAsia="Times New Roman" w:hAnsi="Arial" w:cs="Arial"/>
          <w:bCs/>
          <w:sz w:val="24"/>
          <w:szCs w:val="24"/>
          <w:lang w:eastAsia="en-GB"/>
        </w:rPr>
      </w:pPr>
    </w:p>
    <w:p w:rsidR="00682023" w:rsidRDefault="006A31AE" w:rsidP="00682023">
      <w:pPr>
        <w:spacing w:after="0" w:line="240" w:lineRule="auto"/>
        <w:rPr>
          <w:rFonts w:ascii="Arial" w:eastAsia="Times New Roman" w:hAnsi="Arial" w:cs="Arial"/>
          <w:bCs/>
          <w:sz w:val="24"/>
          <w:szCs w:val="24"/>
          <w:lang w:eastAsia="en-GB"/>
        </w:rPr>
      </w:pPr>
      <w:r w:rsidRPr="00FC32DA">
        <w:rPr>
          <w:rFonts w:ascii="Arial" w:eastAsia="Times New Roman" w:hAnsi="Arial" w:cs="Arial"/>
          <w:bCs/>
          <w:sz w:val="24"/>
          <w:szCs w:val="24"/>
          <w:lang w:eastAsia="en-GB"/>
        </w:rPr>
        <w:t>Figure 6 shows that the number of Burglary offences in Croydon has stayed at similar levels in the past 18 months.  However, t</w:t>
      </w:r>
      <w:r w:rsidR="001E290A" w:rsidRPr="00FC32DA">
        <w:rPr>
          <w:rFonts w:ascii="Arial" w:eastAsia="Times New Roman" w:hAnsi="Arial" w:cs="Arial"/>
          <w:bCs/>
          <w:sz w:val="24"/>
          <w:szCs w:val="24"/>
          <w:lang w:eastAsia="en-GB"/>
        </w:rPr>
        <w:t>he average number in the first 7</w:t>
      </w:r>
      <w:r w:rsidRPr="00FC32DA">
        <w:rPr>
          <w:rFonts w:ascii="Arial" w:eastAsia="Times New Roman" w:hAnsi="Arial" w:cs="Arial"/>
          <w:bCs/>
          <w:sz w:val="24"/>
          <w:szCs w:val="24"/>
          <w:lang w:eastAsia="en-GB"/>
        </w:rPr>
        <w:t xml:space="preserve"> months of 2018/2019 is higher than the average for the first </w:t>
      </w:r>
      <w:r w:rsidR="001E290A" w:rsidRPr="00FC32DA">
        <w:rPr>
          <w:rFonts w:ascii="Arial" w:eastAsia="Times New Roman" w:hAnsi="Arial" w:cs="Arial"/>
          <w:bCs/>
          <w:sz w:val="24"/>
          <w:szCs w:val="24"/>
          <w:lang w:eastAsia="en-GB"/>
        </w:rPr>
        <w:t>7</w:t>
      </w:r>
      <w:r w:rsidRPr="00FC32DA">
        <w:rPr>
          <w:rFonts w:ascii="Arial" w:eastAsia="Times New Roman" w:hAnsi="Arial" w:cs="Arial"/>
          <w:bCs/>
          <w:sz w:val="24"/>
          <w:szCs w:val="24"/>
          <w:lang w:eastAsia="en-GB"/>
        </w:rPr>
        <w:t xml:space="preserve"> months in the previous year</w:t>
      </w:r>
      <w:r w:rsidR="001E290A" w:rsidRPr="00FC32DA">
        <w:rPr>
          <w:rFonts w:ascii="Arial" w:eastAsia="Times New Roman" w:hAnsi="Arial" w:cs="Arial"/>
          <w:bCs/>
          <w:sz w:val="24"/>
          <w:szCs w:val="24"/>
          <w:lang w:eastAsia="en-GB"/>
        </w:rPr>
        <w:t>. The number is</w:t>
      </w:r>
      <w:r w:rsidRPr="00FC32DA">
        <w:rPr>
          <w:rFonts w:ascii="Arial" w:eastAsia="Times New Roman" w:hAnsi="Arial" w:cs="Arial"/>
          <w:bCs/>
          <w:sz w:val="24"/>
          <w:szCs w:val="24"/>
          <w:lang w:eastAsia="en-GB"/>
        </w:rPr>
        <w:t xml:space="preserve"> also higher than the average for the whole of 2017/2018.</w:t>
      </w:r>
      <w:r w:rsidR="00682023" w:rsidRPr="00682023">
        <w:rPr>
          <w:rFonts w:ascii="Arial" w:eastAsia="Times New Roman" w:hAnsi="Arial" w:cs="Arial"/>
          <w:bCs/>
          <w:sz w:val="24"/>
          <w:szCs w:val="24"/>
          <w:lang w:eastAsia="en-GB"/>
        </w:rPr>
        <w:t xml:space="preserve"> </w:t>
      </w:r>
    </w:p>
    <w:p w:rsidR="00682023" w:rsidRDefault="00682023" w:rsidP="00682023">
      <w:pPr>
        <w:spacing w:after="0" w:line="240" w:lineRule="auto"/>
        <w:rPr>
          <w:rFonts w:ascii="Arial" w:eastAsia="Times New Roman" w:hAnsi="Arial" w:cs="Arial"/>
          <w:bCs/>
          <w:sz w:val="24"/>
          <w:szCs w:val="24"/>
          <w:lang w:eastAsia="en-GB"/>
        </w:rPr>
      </w:pPr>
    </w:p>
    <w:p w:rsidR="00682023" w:rsidRPr="00FC32DA" w:rsidRDefault="00682023" w:rsidP="00682023">
      <w:pPr>
        <w:spacing w:after="0" w:line="240" w:lineRule="auto"/>
        <w:rPr>
          <w:rFonts w:ascii="Arial" w:eastAsia="Times New Roman" w:hAnsi="Arial" w:cs="Arial"/>
          <w:bCs/>
          <w:sz w:val="24"/>
          <w:szCs w:val="24"/>
          <w:lang w:eastAsia="en-GB"/>
        </w:rPr>
      </w:pPr>
      <w:r>
        <w:rPr>
          <w:rFonts w:ascii="Arial" w:eastAsia="Times New Roman" w:hAnsi="Arial" w:cs="Arial"/>
          <w:bCs/>
          <w:sz w:val="24"/>
          <w:szCs w:val="24"/>
          <w:lang w:eastAsia="en-GB"/>
        </w:rPr>
        <w:t>W</w:t>
      </w:r>
      <w:r w:rsidRPr="00682023">
        <w:rPr>
          <w:rFonts w:ascii="Arial" w:eastAsia="Times New Roman" w:hAnsi="Arial" w:cs="Arial"/>
          <w:bCs/>
          <w:sz w:val="24"/>
          <w:szCs w:val="24"/>
          <w:lang w:eastAsia="en-GB"/>
        </w:rPr>
        <w:t xml:space="preserve">ith winter on the horizon and </w:t>
      </w:r>
      <w:r>
        <w:rPr>
          <w:rFonts w:ascii="Arial" w:eastAsia="Times New Roman" w:hAnsi="Arial" w:cs="Arial"/>
          <w:bCs/>
          <w:sz w:val="24"/>
          <w:szCs w:val="24"/>
          <w:lang w:eastAsia="en-GB"/>
        </w:rPr>
        <w:t xml:space="preserve">a </w:t>
      </w:r>
      <w:r w:rsidRPr="00682023">
        <w:rPr>
          <w:rFonts w:ascii="Arial" w:eastAsia="Times New Roman" w:hAnsi="Arial" w:cs="Arial"/>
          <w:bCs/>
          <w:sz w:val="24"/>
          <w:szCs w:val="24"/>
          <w:lang w:eastAsia="en-GB"/>
        </w:rPr>
        <w:t xml:space="preserve">shorter </w:t>
      </w:r>
      <w:r>
        <w:rPr>
          <w:rFonts w:ascii="Arial" w:eastAsia="Times New Roman" w:hAnsi="Arial" w:cs="Arial"/>
          <w:bCs/>
          <w:sz w:val="24"/>
          <w:szCs w:val="24"/>
          <w:lang w:eastAsia="en-GB"/>
        </w:rPr>
        <w:t xml:space="preserve">amount of </w:t>
      </w:r>
      <w:r w:rsidR="005976FA">
        <w:rPr>
          <w:rFonts w:ascii="Arial" w:eastAsia="Times New Roman" w:hAnsi="Arial" w:cs="Arial"/>
          <w:bCs/>
          <w:sz w:val="24"/>
          <w:szCs w:val="24"/>
          <w:lang w:eastAsia="en-GB"/>
        </w:rPr>
        <w:t xml:space="preserve">day </w:t>
      </w:r>
      <w:r w:rsidRPr="00682023">
        <w:rPr>
          <w:rFonts w:ascii="Arial" w:eastAsia="Times New Roman" w:hAnsi="Arial" w:cs="Arial"/>
          <w:bCs/>
          <w:sz w:val="24"/>
          <w:szCs w:val="24"/>
          <w:lang w:eastAsia="en-GB"/>
        </w:rPr>
        <w:t xml:space="preserve">light, the number of these offences could </w:t>
      </w:r>
      <w:r>
        <w:rPr>
          <w:rFonts w:ascii="Arial" w:eastAsia="Times New Roman" w:hAnsi="Arial" w:cs="Arial"/>
          <w:bCs/>
          <w:sz w:val="24"/>
          <w:szCs w:val="24"/>
          <w:lang w:eastAsia="en-GB"/>
        </w:rPr>
        <w:t xml:space="preserve">still </w:t>
      </w:r>
      <w:r w:rsidRPr="00682023">
        <w:rPr>
          <w:rFonts w:ascii="Arial" w:eastAsia="Times New Roman" w:hAnsi="Arial" w:cs="Arial"/>
          <w:bCs/>
          <w:sz w:val="24"/>
          <w:szCs w:val="24"/>
          <w:lang w:eastAsia="en-GB"/>
        </w:rPr>
        <w:t>increase</w:t>
      </w:r>
      <w:r>
        <w:rPr>
          <w:rFonts w:ascii="Arial" w:eastAsia="Times New Roman" w:hAnsi="Arial" w:cs="Arial"/>
          <w:bCs/>
          <w:sz w:val="24"/>
          <w:szCs w:val="24"/>
          <w:lang w:eastAsia="en-GB"/>
        </w:rPr>
        <w:t xml:space="preserve"> further</w:t>
      </w:r>
      <w:r w:rsidRPr="00682023">
        <w:rPr>
          <w:rFonts w:ascii="Arial" w:eastAsia="Times New Roman" w:hAnsi="Arial" w:cs="Arial"/>
          <w:bCs/>
          <w:sz w:val="24"/>
          <w:szCs w:val="24"/>
          <w:lang w:eastAsia="en-GB"/>
        </w:rPr>
        <w:t xml:space="preserve">. </w:t>
      </w: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u w:val="single"/>
          <w:lang w:eastAsia="en-GB"/>
        </w:rPr>
      </w:pPr>
      <w:r w:rsidRPr="00FC32DA">
        <w:rPr>
          <w:rFonts w:ascii="Arial" w:eastAsia="Times New Roman" w:hAnsi="Arial" w:cs="Arial"/>
          <w:bCs/>
          <w:sz w:val="24"/>
          <w:szCs w:val="24"/>
          <w:u w:val="single"/>
          <w:lang w:eastAsia="en-GB"/>
        </w:rPr>
        <w:t>Figure 6 – Number of Burglary offences</w:t>
      </w:r>
    </w:p>
    <w:p w:rsidR="00267CB0" w:rsidRPr="00FC32DA" w:rsidRDefault="00267CB0" w:rsidP="006A31AE">
      <w:pPr>
        <w:spacing w:after="0" w:line="240" w:lineRule="auto"/>
        <w:rPr>
          <w:rFonts w:ascii="Arial" w:eastAsia="Times New Roman" w:hAnsi="Arial" w:cs="Arial"/>
          <w:bCs/>
          <w:sz w:val="24"/>
          <w:szCs w:val="24"/>
          <w:u w:val="single"/>
          <w:lang w:eastAsia="en-GB"/>
        </w:rPr>
      </w:pPr>
    </w:p>
    <w:p w:rsidR="006A31AE" w:rsidRPr="00FC32DA" w:rsidRDefault="001E290A" w:rsidP="00267CB0">
      <w:pPr>
        <w:spacing w:after="0" w:line="240" w:lineRule="auto"/>
        <w:rPr>
          <w:rFonts w:ascii="Arial" w:eastAsia="Times New Roman" w:hAnsi="Arial" w:cs="Arial"/>
          <w:bCs/>
          <w:noProof/>
          <w:sz w:val="24"/>
          <w:szCs w:val="24"/>
          <w:lang w:eastAsia="en-GB"/>
        </w:rPr>
      </w:pPr>
      <w:r w:rsidRPr="00FC32DA">
        <w:rPr>
          <w:noProof/>
          <w:lang w:eastAsia="en-GB"/>
        </w:rPr>
        <w:drawing>
          <wp:inline distT="0" distB="0" distL="0" distR="0" wp14:anchorId="21FDCFFF" wp14:editId="4BC33604">
            <wp:extent cx="4223385" cy="2841171"/>
            <wp:effectExtent l="0" t="0" r="5715" b="16510"/>
            <wp:docPr id="105" name="Chart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p w:rsidR="009447F3" w:rsidRPr="000D5C6C" w:rsidRDefault="006A31AE" w:rsidP="009447F3">
      <w:pPr>
        <w:spacing w:after="0" w:line="240" w:lineRule="auto"/>
        <w:rPr>
          <w:rFonts w:ascii="Arial" w:eastAsia="Times New Roman" w:hAnsi="Arial" w:cs="Arial"/>
          <w:b/>
          <w:bCs/>
          <w:sz w:val="20"/>
          <w:szCs w:val="20"/>
          <w:lang w:eastAsia="en-GB"/>
        </w:rPr>
      </w:pPr>
      <w:r w:rsidRPr="000D5C6C">
        <w:rPr>
          <w:rFonts w:ascii="Arial" w:eastAsia="Times New Roman" w:hAnsi="Arial" w:cs="Arial"/>
          <w:bCs/>
          <w:sz w:val="20"/>
          <w:szCs w:val="20"/>
          <w:lang w:eastAsia="en-GB"/>
        </w:rPr>
        <w:t xml:space="preserve">Source: </w:t>
      </w:r>
      <w:r w:rsidR="009447F3" w:rsidRPr="000D5C6C">
        <w:rPr>
          <w:rFonts w:ascii="Arial" w:eastAsia="Times New Roman" w:hAnsi="Arial" w:cs="Arial"/>
          <w:bCs/>
          <w:sz w:val="20"/>
          <w:szCs w:val="20"/>
          <w:lang w:eastAsia="en-GB"/>
        </w:rPr>
        <w:t>MPS, Borough Volume and Trends dashboard</w:t>
      </w: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r w:rsidRPr="00FC32DA">
        <w:rPr>
          <w:rFonts w:ascii="Arial" w:eastAsia="Times New Roman" w:hAnsi="Arial" w:cs="Arial"/>
          <w:bCs/>
          <w:sz w:val="24"/>
          <w:szCs w:val="24"/>
          <w:lang w:eastAsia="en-GB"/>
        </w:rPr>
        <w:t xml:space="preserve">The number of criminal damage offences has been dropping over the past 18 months. The latest position shows that the numbers of these offences in Croydon are continuing to reduce.  </w:t>
      </w:r>
      <w:r w:rsidR="00772217" w:rsidRPr="00FC32DA">
        <w:rPr>
          <w:rFonts w:ascii="Arial" w:eastAsia="Times New Roman" w:hAnsi="Arial" w:cs="Arial"/>
          <w:bCs/>
          <w:sz w:val="24"/>
          <w:szCs w:val="24"/>
          <w:lang w:eastAsia="en-GB"/>
        </w:rPr>
        <w:t>Th</w:t>
      </w:r>
      <w:r w:rsidRPr="00FC32DA">
        <w:rPr>
          <w:rFonts w:ascii="Arial" w:eastAsia="Times New Roman" w:hAnsi="Arial" w:cs="Arial"/>
          <w:bCs/>
          <w:sz w:val="24"/>
          <w:szCs w:val="24"/>
          <w:lang w:eastAsia="en-GB"/>
        </w:rPr>
        <w:t>e latest figure of 2,7</w:t>
      </w:r>
      <w:r w:rsidR="001E290A" w:rsidRPr="00FC32DA">
        <w:rPr>
          <w:rFonts w:ascii="Arial" w:eastAsia="Times New Roman" w:hAnsi="Arial" w:cs="Arial"/>
          <w:bCs/>
          <w:sz w:val="24"/>
          <w:szCs w:val="24"/>
          <w:lang w:eastAsia="en-GB"/>
        </w:rPr>
        <w:t>22</w:t>
      </w:r>
      <w:r w:rsidRPr="00FC32DA">
        <w:rPr>
          <w:rFonts w:ascii="Arial" w:eastAsia="Times New Roman" w:hAnsi="Arial" w:cs="Arial"/>
          <w:bCs/>
          <w:sz w:val="24"/>
          <w:szCs w:val="24"/>
          <w:lang w:eastAsia="en-GB"/>
        </w:rPr>
        <w:t>, for the rolling 12 months to 3</w:t>
      </w:r>
      <w:r w:rsidR="001E290A" w:rsidRPr="00FC32DA">
        <w:rPr>
          <w:rFonts w:ascii="Arial" w:eastAsia="Times New Roman" w:hAnsi="Arial" w:cs="Arial"/>
          <w:bCs/>
          <w:sz w:val="24"/>
          <w:szCs w:val="24"/>
          <w:lang w:eastAsia="en-GB"/>
        </w:rPr>
        <w:t>1. October</w:t>
      </w:r>
      <w:r w:rsidRPr="00FC32DA">
        <w:rPr>
          <w:rFonts w:ascii="Arial" w:eastAsia="Times New Roman" w:hAnsi="Arial" w:cs="Arial"/>
          <w:bCs/>
          <w:sz w:val="24"/>
          <w:szCs w:val="24"/>
          <w:lang w:eastAsia="en-GB"/>
        </w:rPr>
        <w:t xml:space="preserve"> 2018, </w:t>
      </w:r>
      <w:r w:rsidR="00772217" w:rsidRPr="00FC32DA">
        <w:rPr>
          <w:rFonts w:ascii="Arial" w:eastAsia="Times New Roman" w:hAnsi="Arial" w:cs="Arial"/>
          <w:bCs/>
          <w:sz w:val="24"/>
          <w:szCs w:val="24"/>
          <w:lang w:eastAsia="en-GB"/>
        </w:rPr>
        <w:t xml:space="preserve">continues a downward trend for </w:t>
      </w:r>
      <w:r w:rsidRPr="00FC32DA">
        <w:rPr>
          <w:rFonts w:ascii="Arial" w:eastAsia="Times New Roman" w:hAnsi="Arial" w:cs="Arial"/>
          <w:bCs/>
          <w:sz w:val="24"/>
          <w:szCs w:val="24"/>
          <w:lang w:eastAsia="en-GB"/>
        </w:rPr>
        <w:t>the borough.</w:t>
      </w: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u w:val="single"/>
          <w:lang w:eastAsia="en-GB"/>
        </w:rPr>
      </w:pPr>
      <w:r w:rsidRPr="00FC32DA">
        <w:rPr>
          <w:rFonts w:ascii="Arial" w:eastAsia="Times New Roman" w:hAnsi="Arial" w:cs="Arial"/>
          <w:bCs/>
          <w:sz w:val="24"/>
          <w:szCs w:val="24"/>
          <w:u w:val="single"/>
          <w:lang w:eastAsia="en-GB"/>
        </w:rPr>
        <w:t>Figure 7 – Number of Criminal damage offences</w:t>
      </w:r>
    </w:p>
    <w:p w:rsidR="006A31AE" w:rsidRPr="00FC32DA" w:rsidRDefault="006A31AE" w:rsidP="006A31AE">
      <w:pPr>
        <w:spacing w:after="0" w:line="240" w:lineRule="auto"/>
        <w:rPr>
          <w:rFonts w:ascii="Arial" w:eastAsia="Times New Roman" w:hAnsi="Arial" w:cs="Arial"/>
          <w:bCs/>
          <w:sz w:val="24"/>
          <w:szCs w:val="24"/>
          <w:u w:val="single"/>
          <w:lang w:eastAsia="en-GB"/>
        </w:rPr>
      </w:pPr>
    </w:p>
    <w:p w:rsidR="001E290A" w:rsidRPr="00FC32DA" w:rsidRDefault="001E290A" w:rsidP="006A31AE">
      <w:pPr>
        <w:spacing w:after="0" w:line="240" w:lineRule="auto"/>
        <w:rPr>
          <w:rFonts w:ascii="Arial" w:eastAsia="Times New Roman" w:hAnsi="Arial" w:cs="Arial"/>
          <w:bCs/>
          <w:sz w:val="24"/>
          <w:szCs w:val="24"/>
          <w:u w:val="single"/>
          <w:lang w:eastAsia="en-GB"/>
        </w:rPr>
      </w:pPr>
      <w:r w:rsidRPr="00FC32DA">
        <w:rPr>
          <w:noProof/>
          <w:lang w:eastAsia="en-GB"/>
        </w:rPr>
        <w:drawing>
          <wp:inline distT="0" distB="0" distL="0" distR="0" wp14:anchorId="7D0EF153" wp14:editId="31DA5F3D">
            <wp:extent cx="4206875" cy="2734945"/>
            <wp:effectExtent l="0" t="0" r="3175" b="8255"/>
            <wp:docPr id="106" name="Chart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9447F3" w:rsidRPr="000D5C6C" w:rsidRDefault="006A31AE" w:rsidP="009447F3">
      <w:pPr>
        <w:spacing w:after="0" w:line="240" w:lineRule="auto"/>
        <w:rPr>
          <w:rFonts w:ascii="Arial" w:eastAsia="Times New Roman" w:hAnsi="Arial" w:cs="Arial"/>
          <w:b/>
          <w:bCs/>
          <w:sz w:val="20"/>
          <w:szCs w:val="20"/>
          <w:lang w:eastAsia="en-GB"/>
        </w:rPr>
      </w:pPr>
      <w:r w:rsidRPr="000D5C6C">
        <w:rPr>
          <w:rFonts w:ascii="Arial" w:eastAsia="Times New Roman" w:hAnsi="Arial" w:cs="Arial"/>
          <w:bCs/>
          <w:sz w:val="20"/>
          <w:szCs w:val="20"/>
          <w:lang w:eastAsia="en-GB"/>
        </w:rPr>
        <w:t xml:space="preserve">Source: </w:t>
      </w:r>
      <w:r w:rsidR="009447F3" w:rsidRPr="000D5C6C">
        <w:rPr>
          <w:rFonts w:ascii="Arial" w:eastAsia="Times New Roman" w:hAnsi="Arial" w:cs="Arial"/>
          <w:bCs/>
          <w:sz w:val="20"/>
          <w:szCs w:val="20"/>
          <w:lang w:eastAsia="en-GB"/>
        </w:rPr>
        <w:t>MPS, Borough Volume and Trends dashboard</w:t>
      </w:r>
    </w:p>
    <w:p w:rsidR="006A31AE" w:rsidRPr="000D5C6C" w:rsidRDefault="006A31AE" w:rsidP="006A31AE">
      <w:pPr>
        <w:spacing w:after="0" w:line="240" w:lineRule="auto"/>
        <w:rPr>
          <w:rFonts w:ascii="Arial" w:eastAsia="Times New Roman" w:hAnsi="Arial" w:cs="Arial"/>
          <w:bCs/>
          <w:sz w:val="20"/>
          <w:szCs w:val="20"/>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D20927" w:rsidRDefault="00D20927" w:rsidP="006A31AE">
      <w:pPr>
        <w:spacing w:after="0" w:line="240" w:lineRule="auto"/>
        <w:rPr>
          <w:rFonts w:ascii="Arial" w:eastAsia="Times New Roman" w:hAnsi="Arial" w:cs="Arial"/>
          <w:bCs/>
          <w:sz w:val="24"/>
          <w:szCs w:val="24"/>
          <w:lang w:eastAsia="en-GB"/>
        </w:rPr>
      </w:pPr>
    </w:p>
    <w:p w:rsidR="00D20927" w:rsidRDefault="00D20927" w:rsidP="006A31AE">
      <w:pPr>
        <w:spacing w:after="0" w:line="240" w:lineRule="auto"/>
        <w:rPr>
          <w:rFonts w:ascii="Arial" w:eastAsia="Times New Roman" w:hAnsi="Arial" w:cs="Arial"/>
          <w:bCs/>
          <w:sz w:val="24"/>
          <w:szCs w:val="24"/>
          <w:lang w:eastAsia="en-GB"/>
        </w:rPr>
      </w:pPr>
    </w:p>
    <w:p w:rsidR="00D20927" w:rsidRDefault="00D20927"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r w:rsidRPr="00FC32DA">
        <w:rPr>
          <w:rFonts w:ascii="Arial" w:eastAsia="Times New Roman" w:hAnsi="Arial" w:cs="Arial"/>
          <w:bCs/>
          <w:sz w:val="24"/>
          <w:szCs w:val="24"/>
          <w:lang w:eastAsia="en-GB"/>
        </w:rPr>
        <w:t xml:space="preserve">The number of theft from person offences is increasing. In the first </w:t>
      </w:r>
      <w:r w:rsidR="00AB5428" w:rsidRPr="00FC32DA">
        <w:rPr>
          <w:rFonts w:ascii="Arial" w:eastAsia="Times New Roman" w:hAnsi="Arial" w:cs="Arial"/>
          <w:bCs/>
          <w:sz w:val="24"/>
          <w:szCs w:val="24"/>
          <w:lang w:eastAsia="en-GB"/>
        </w:rPr>
        <w:t>7</w:t>
      </w:r>
      <w:r w:rsidRPr="00FC32DA">
        <w:rPr>
          <w:rFonts w:ascii="Arial" w:eastAsia="Times New Roman" w:hAnsi="Arial" w:cs="Arial"/>
          <w:bCs/>
          <w:sz w:val="24"/>
          <w:szCs w:val="24"/>
          <w:lang w:eastAsia="en-GB"/>
        </w:rPr>
        <w:t xml:space="preserve"> months of 2018/2019, the numbers have increased on last year’s levels.  The latest </w:t>
      </w:r>
      <w:r w:rsidR="00AB5428" w:rsidRPr="00FC32DA">
        <w:rPr>
          <w:rFonts w:ascii="Arial" w:eastAsia="Times New Roman" w:hAnsi="Arial" w:cs="Arial"/>
          <w:bCs/>
          <w:sz w:val="24"/>
          <w:szCs w:val="24"/>
          <w:lang w:eastAsia="en-GB"/>
        </w:rPr>
        <w:t>7</w:t>
      </w:r>
      <w:r w:rsidRPr="00FC32DA">
        <w:rPr>
          <w:rFonts w:ascii="Arial" w:eastAsia="Times New Roman" w:hAnsi="Arial" w:cs="Arial"/>
          <w:bCs/>
          <w:sz w:val="24"/>
          <w:szCs w:val="24"/>
          <w:lang w:eastAsia="en-GB"/>
        </w:rPr>
        <w:t xml:space="preserve"> months average</w:t>
      </w:r>
      <w:r w:rsidR="00AB5428" w:rsidRPr="00FC32DA">
        <w:rPr>
          <w:rFonts w:ascii="Arial" w:eastAsia="Times New Roman" w:hAnsi="Arial" w:cs="Arial"/>
          <w:bCs/>
          <w:sz w:val="24"/>
          <w:szCs w:val="24"/>
          <w:lang w:eastAsia="en-GB"/>
        </w:rPr>
        <w:t xml:space="preserve"> of 555</w:t>
      </w:r>
      <w:r w:rsidRPr="00FC32DA">
        <w:rPr>
          <w:rFonts w:ascii="Arial" w:eastAsia="Times New Roman" w:hAnsi="Arial" w:cs="Arial"/>
          <w:bCs/>
          <w:sz w:val="24"/>
          <w:szCs w:val="24"/>
          <w:lang w:eastAsia="en-GB"/>
        </w:rPr>
        <w:t xml:space="preserve"> is </w:t>
      </w:r>
      <w:r w:rsidR="00AB5428" w:rsidRPr="00FC32DA">
        <w:rPr>
          <w:rFonts w:ascii="Arial" w:eastAsia="Times New Roman" w:hAnsi="Arial" w:cs="Arial"/>
          <w:bCs/>
          <w:sz w:val="24"/>
          <w:szCs w:val="24"/>
          <w:lang w:eastAsia="en-GB"/>
        </w:rPr>
        <w:t xml:space="preserve">already </w:t>
      </w:r>
      <w:r w:rsidRPr="00FC32DA">
        <w:rPr>
          <w:rFonts w:ascii="Arial" w:eastAsia="Times New Roman" w:hAnsi="Arial" w:cs="Arial"/>
          <w:bCs/>
          <w:sz w:val="24"/>
          <w:szCs w:val="24"/>
          <w:lang w:eastAsia="en-GB"/>
        </w:rPr>
        <w:t xml:space="preserve">over 40 more </w:t>
      </w:r>
      <w:r w:rsidR="00AB5428" w:rsidRPr="00FC32DA">
        <w:rPr>
          <w:rFonts w:ascii="Arial" w:eastAsia="Times New Roman" w:hAnsi="Arial" w:cs="Arial"/>
          <w:bCs/>
          <w:sz w:val="24"/>
          <w:szCs w:val="24"/>
          <w:lang w:eastAsia="en-GB"/>
        </w:rPr>
        <w:t>than the av</w:t>
      </w:r>
      <w:r w:rsidRPr="00FC32DA">
        <w:rPr>
          <w:rFonts w:ascii="Arial" w:eastAsia="Times New Roman" w:hAnsi="Arial" w:cs="Arial"/>
          <w:bCs/>
          <w:sz w:val="24"/>
          <w:szCs w:val="24"/>
          <w:lang w:eastAsia="en-GB"/>
        </w:rPr>
        <w:t>erage of 513 for whole of last year.</w:t>
      </w: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u w:val="single"/>
          <w:lang w:eastAsia="en-GB"/>
        </w:rPr>
      </w:pPr>
      <w:r w:rsidRPr="00FC32DA">
        <w:rPr>
          <w:rFonts w:ascii="Arial" w:eastAsia="Times New Roman" w:hAnsi="Arial" w:cs="Arial"/>
          <w:bCs/>
          <w:sz w:val="24"/>
          <w:szCs w:val="24"/>
          <w:u w:val="single"/>
          <w:lang w:eastAsia="en-GB"/>
        </w:rPr>
        <w:t>Figure 8 – Number of Theft from person offences</w:t>
      </w:r>
    </w:p>
    <w:p w:rsidR="00AB5428" w:rsidRPr="00FC32DA" w:rsidRDefault="00AB5428" w:rsidP="006A31AE">
      <w:pPr>
        <w:spacing w:after="0" w:line="240" w:lineRule="auto"/>
        <w:rPr>
          <w:rFonts w:ascii="Arial" w:eastAsia="Calibri" w:hAnsi="Arial" w:cs="Arial"/>
          <w:noProof/>
          <w:sz w:val="24"/>
          <w:szCs w:val="24"/>
          <w:lang w:eastAsia="en-GB"/>
        </w:rPr>
      </w:pPr>
    </w:p>
    <w:p w:rsidR="00AB5428" w:rsidRPr="00FC32DA" w:rsidRDefault="00AB5428" w:rsidP="006A31AE">
      <w:pPr>
        <w:spacing w:after="0" w:line="240" w:lineRule="auto"/>
        <w:rPr>
          <w:rFonts w:ascii="Arial" w:eastAsia="Calibri" w:hAnsi="Arial" w:cs="Arial"/>
          <w:noProof/>
          <w:sz w:val="24"/>
          <w:szCs w:val="24"/>
          <w:lang w:eastAsia="en-GB"/>
        </w:rPr>
      </w:pPr>
      <w:r w:rsidRPr="00FC32DA">
        <w:rPr>
          <w:noProof/>
          <w:lang w:eastAsia="en-GB"/>
        </w:rPr>
        <w:drawing>
          <wp:inline distT="0" distB="0" distL="0" distR="0" wp14:anchorId="54A96AD2" wp14:editId="5F0030AF">
            <wp:extent cx="4206875" cy="2732405"/>
            <wp:effectExtent l="0" t="0" r="3175" b="10795"/>
            <wp:docPr id="2062" name="Chart 20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1"/>
              </a:graphicData>
            </a:graphic>
          </wp:inline>
        </w:drawing>
      </w:r>
    </w:p>
    <w:p w:rsidR="009447F3" w:rsidRPr="002235F2" w:rsidRDefault="006A31AE" w:rsidP="009447F3">
      <w:pPr>
        <w:spacing w:after="0" w:line="240" w:lineRule="auto"/>
        <w:rPr>
          <w:rFonts w:ascii="Arial" w:eastAsia="Times New Roman" w:hAnsi="Arial" w:cs="Arial"/>
          <w:b/>
          <w:bCs/>
          <w:sz w:val="20"/>
          <w:szCs w:val="20"/>
          <w:lang w:eastAsia="en-GB"/>
        </w:rPr>
      </w:pPr>
      <w:r w:rsidRPr="002235F2">
        <w:rPr>
          <w:rFonts w:ascii="Arial" w:eastAsia="Times New Roman" w:hAnsi="Arial" w:cs="Arial"/>
          <w:bCs/>
          <w:sz w:val="20"/>
          <w:szCs w:val="20"/>
          <w:lang w:eastAsia="en-GB"/>
        </w:rPr>
        <w:t xml:space="preserve">Source: </w:t>
      </w:r>
      <w:r w:rsidR="009447F3" w:rsidRPr="002235F2">
        <w:rPr>
          <w:rFonts w:ascii="Arial" w:eastAsia="Times New Roman" w:hAnsi="Arial" w:cs="Arial"/>
          <w:bCs/>
          <w:sz w:val="20"/>
          <w:szCs w:val="20"/>
          <w:lang w:eastAsia="en-GB"/>
        </w:rPr>
        <w:t>MPS, Borough Volume and Trends dashboard</w:t>
      </w: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C01780" w:rsidRPr="00FC32DA" w:rsidRDefault="00C01780"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r w:rsidRPr="00FC32DA">
        <w:rPr>
          <w:rFonts w:ascii="Arial" w:eastAsia="Times New Roman" w:hAnsi="Arial" w:cs="Arial"/>
          <w:bCs/>
          <w:sz w:val="24"/>
          <w:szCs w:val="24"/>
          <w:lang w:eastAsia="en-GB"/>
        </w:rPr>
        <w:t xml:space="preserve">Data for the last of the MOPAC 7 : Violence with Injury, is not available </w:t>
      </w:r>
      <w:r w:rsidR="00AB5428" w:rsidRPr="00FC32DA">
        <w:rPr>
          <w:rFonts w:ascii="Arial" w:eastAsia="Times New Roman" w:hAnsi="Arial" w:cs="Arial"/>
          <w:bCs/>
          <w:sz w:val="24"/>
          <w:szCs w:val="24"/>
          <w:lang w:eastAsia="en-GB"/>
        </w:rPr>
        <w:t xml:space="preserve">on the MOPAC dashboard. </w:t>
      </w:r>
      <w:r w:rsidRPr="00FC32DA">
        <w:rPr>
          <w:rFonts w:ascii="Arial" w:eastAsia="Times New Roman" w:hAnsi="Arial" w:cs="Arial"/>
          <w:bCs/>
          <w:sz w:val="24"/>
          <w:szCs w:val="24"/>
          <w:lang w:eastAsia="en-GB"/>
        </w:rPr>
        <w:t xml:space="preserve"> As an alternative, the number of common assaults is being tracked.  The average number of these offences in the first </w:t>
      </w:r>
      <w:r w:rsidR="00AB5428" w:rsidRPr="00FC32DA">
        <w:rPr>
          <w:rFonts w:ascii="Arial" w:eastAsia="Times New Roman" w:hAnsi="Arial" w:cs="Arial"/>
          <w:bCs/>
          <w:sz w:val="24"/>
          <w:szCs w:val="24"/>
          <w:lang w:eastAsia="en-GB"/>
        </w:rPr>
        <w:t>7</w:t>
      </w:r>
      <w:r w:rsidRPr="00FC32DA">
        <w:rPr>
          <w:rFonts w:ascii="Arial" w:eastAsia="Times New Roman" w:hAnsi="Arial" w:cs="Arial"/>
          <w:bCs/>
          <w:sz w:val="24"/>
          <w:szCs w:val="24"/>
          <w:lang w:eastAsia="en-GB"/>
        </w:rPr>
        <w:t xml:space="preserve"> months of 2018/2019 is </w:t>
      </w:r>
      <w:r w:rsidR="002E5B83" w:rsidRPr="00FC32DA">
        <w:rPr>
          <w:rFonts w:ascii="Arial" w:eastAsia="Times New Roman" w:hAnsi="Arial" w:cs="Arial"/>
          <w:bCs/>
          <w:sz w:val="24"/>
          <w:szCs w:val="24"/>
          <w:lang w:eastAsia="en-GB"/>
        </w:rPr>
        <w:t>2,99</w:t>
      </w:r>
      <w:r w:rsidR="00A44C0A">
        <w:rPr>
          <w:rFonts w:ascii="Arial" w:eastAsia="Times New Roman" w:hAnsi="Arial" w:cs="Arial"/>
          <w:bCs/>
          <w:sz w:val="24"/>
          <w:szCs w:val="24"/>
          <w:lang w:eastAsia="en-GB"/>
        </w:rPr>
        <w:t>6</w:t>
      </w:r>
      <w:r w:rsidRPr="00FC32DA">
        <w:rPr>
          <w:rFonts w:ascii="Arial" w:eastAsia="Times New Roman" w:hAnsi="Arial" w:cs="Arial"/>
          <w:bCs/>
          <w:sz w:val="24"/>
          <w:szCs w:val="24"/>
          <w:lang w:eastAsia="en-GB"/>
        </w:rPr>
        <w:t xml:space="preserve"> which is </w:t>
      </w:r>
      <w:r w:rsidR="00A44C0A">
        <w:rPr>
          <w:rFonts w:ascii="Arial" w:eastAsia="Times New Roman" w:hAnsi="Arial" w:cs="Arial"/>
          <w:bCs/>
          <w:sz w:val="24"/>
          <w:szCs w:val="24"/>
          <w:lang w:eastAsia="en-GB"/>
        </w:rPr>
        <w:t xml:space="preserve">almost the same as </w:t>
      </w:r>
      <w:r w:rsidRPr="00FC32DA">
        <w:rPr>
          <w:rFonts w:ascii="Arial" w:eastAsia="Times New Roman" w:hAnsi="Arial" w:cs="Arial"/>
          <w:bCs/>
          <w:sz w:val="24"/>
          <w:szCs w:val="24"/>
          <w:lang w:eastAsia="en-GB"/>
        </w:rPr>
        <w:t>the previous year’s average of 2,997.</w:t>
      </w: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u w:val="single"/>
          <w:lang w:eastAsia="en-GB"/>
        </w:rPr>
      </w:pPr>
      <w:r w:rsidRPr="00FC32DA">
        <w:rPr>
          <w:rFonts w:ascii="Arial" w:eastAsia="Times New Roman" w:hAnsi="Arial" w:cs="Arial"/>
          <w:bCs/>
          <w:sz w:val="24"/>
          <w:szCs w:val="24"/>
          <w:u w:val="single"/>
          <w:lang w:eastAsia="en-GB"/>
        </w:rPr>
        <w:t>Figure 9 – Number of Common assaults</w:t>
      </w:r>
    </w:p>
    <w:p w:rsidR="007B5AAA" w:rsidRPr="00FC32DA" w:rsidRDefault="007B5AAA" w:rsidP="006A31AE">
      <w:pPr>
        <w:spacing w:after="0" w:line="240" w:lineRule="auto"/>
        <w:rPr>
          <w:rFonts w:ascii="Arial" w:eastAsia="Times New Roman" w:hAnsi="Arial" w:cs="Arial"/>
          <w:bCs/>
          <w:sz w:val="24"/>
          <w:szCs w:val="24"/>
          <w:u w:val="single"/>
          <w:lang w:eastAsia="en-GB"/>
        </w:rPr>
      </w:pPr>
    </w:p>
    <w:p w:rsidR="006A31AE" w:rsidRPr="00FC32DA" w:rsidRDefault="000D4093" w:rsidP="006A31AE">
      <w:pPr>
        <w:spacing w:after="0" w:line="240" w:lineRule="auto"/>
        <w:rPr>
          <w:rFonts w:ascii="Arial" w:eastAsia="Times New Roman" w:hAnsi="Arial" w:cs="Arial"/>
          <w:bCs/>
          <w:sz w:val="24"/>
          <w:szCs w:val="24"/>
          <w:lang w:eastAsia="en-GB"/>
        </w:rPr>
      </w:pPr>
      <w:r>
        <w:rPr>
          <w:noProof/>
          <w:lang w:eastAsia="en-GB"/>
        </w:rPr>
        <w:drawing>
          <wp:inline distT="0" distB="0" distL="0" distR="0" wp14:anchorId="577D1CBB" wp14:editId="3C75558C">
            <wp:extent cx="4168140" cy="2734945"/>
            <wp:effectExtent l="0" t="0" r="3810" b="8255"/>
            <wp:docPr id="13945" name="Chart 139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9447F3" w:rsidRPr="002235F2" w:rsidRDefault="006A31AE" w:rsidP="009447F3">
      <w:pPr>
        <w:spacing w:after="0" w:line="240" w:lineRule="auto"/>
        <w:rPr>
          <w:rFonts w:ascii="Arial" w:eastAsia="Times New Roman" w:hAnsi="Arial" w:cs="Arial"/>
          <w:b/>
          <w:bCs/>
          <w:sz w:val="20"/>
          <w:szCs w:val="20"/>
          <w:lang w:eastAsia="en-GB"/>
        </w:rPr>
      </w:pPr>
      <w:r w:rsidRPr="002235F2">
        <w:rPr>
          <w:rFonts w:ascii="Arial" w:eastAsia="Times New Roman" w:hAnsi="Arial" w:cs="Arial"/>
          <w:bCs/>
          <w:sz w:val="20"/>
          <w:szCs w:val="20"/>
          <w:lang w:eastAsia="en-GB"/>
        </w:rPr>
        <w:t xml:space="preserve">Source: </w:t>
      </w:r>
      <w:r w:rsidR="009447F3" w:rsidRPr="002235F2">
        <w:rPr>
          <w:rFonts w:ascii="Arial" w:eastAsia="Times New Roman" w:hAnsi="Arial" w:cs="Arial"/>
          <w:bCs/>
          <w:sz w:val="20"/>
          <w:szCs w:val="20"/>
          <w:lang w:eastAsia="en-GB"/>
        </w:rPr>
        <w:t>MPS, Borough Volume and Trends dashboard</w:t>
      </w:r>
    </w:p>
    <w:p w:rsidR="006A31AE" w:rsidRPr="00FC32DA" w:rsidRDefault="006A31AE"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lang w:eastAsia="en-GB"/>
        </w:rPr>
      </w:pPr>
    </w:p>
    <w:p w:rsidR="009A6129" w:rsidRPr="006A50E0" w:rsidRDefault="009A6129" w:rsidP="006A31AE">
      <w:pPr>
        <w:spacing w:after="0" w:line="240" w:lineRule="auto"/>
        <w:rPr>
          <w:rFonts w:ascii="Arial" w:eastAsia="Times New Roman" w:hAnsi="Arial" w:cs="Arial"/>
          <w:bCs/>
          <w:sz w:val="24"/>
          <w:szCs w:val="24"/>
          <w:lang w:eastAsia="en-GB"/>
        </w:rPr>
      </w:pPr>
    </w:p>
    <w:p w:rsidR="008B6DE3" w:rsidRPr="006A50E0" w:rsidRDefault="008B6DE3" w:rsidP="006A31AE">
      <w:pPr>
        <w:spacing w:after="0" w:line="240" w:lineRule="auto"/>
        <w:outlineLvl w:val="1"/>
        <w:rPr>
          <w:rFonts w:ascii="Arial" w:eastAsia="Times New Roman" w:hAnsi="Arial" w:cs="Arial"/>
          <w:b/>
          <w:bCs/>
          <w:sz w:val="28"/>
          <w:szCs w:val="24"/>
          <w:lang w:eastAsia="en-GB"/>
        </w:rPr>
      </w:pPr>
      <w:bookmarkStart w:id="29" w:name="_Gang_crime_and"/>
      <w:bookmarkEnd w:id="29"/>
    </w:p>
    <w:p w:rsidR="008B6DE3" w:rsidRPr="006A50E0" w:rsidRDefault="008B6DE3" w:rsidP="006A31AE">
      <w:pPr>
        <w:spacing w:after="0" w:line="240" w:lineRule="auto"/>
        <w:outlineLvl w:val="1"/>
        <w:rPr>
          <w:rFonts w:ascii="Arial" w:eastAsia="Times New Roman" w:hAnsi="Arial" w:cs="Arial"/>
          <w:b/>
          <w:bCs/>
          <w:sz w:val="28"/>
          <w:szCs w:val="24"/>
          <w:lang w:eastAsia="en-GB"/>
        </w:rPr>
      </w:pPr>
    </w:p>
    <w:p w:rsidR="006A31AE" w:rsidRPr="00341837" w:rsidRDefault="006A31AE" w:rsidP="006A31AE">
      <w:pPr>
        <w:spacing w:after="0" w:line="240" w:lineRule="auto"/>
        <w:outlineLvl w:val="1"/>
        <w:rPr>
          <w:rFonts w:ascii="Arial" w:eastAsia="Times New Roman" w:hAnsi="Arial" w:cs="Arial"/>
          <w:b/>
          <w:bCs/>
          <w:color w:val="00B050"/>
          <w:sz w:val="28"/>
          <w:szCs w:val="24"/>
          <w:lang w:eastAsia="en-GB"/>
        </w:rPr>
      </w:pPr>
      <w:r w:rsidRPr="00341837">
        <w:rPr>
          <w:rFonts w:ascii="Arial" w:eastAsia="Times New Roman" w:hAnsi="Arial" w:cs="Arial"/>
          <w:b/>
          <w:bCs/>
          <w:color w:val="00B050"/>
          <w:sz w:val="28"/>
          <w:szCs w:val="24"/>
          <w:lang w:eastAsia="en-GB"/>
        </w:rPr>
        <w:t>Gang crime and serious youth violence</w:t>
      </w:r>
    </w:p>
    <w:p w:rsidR="006A31AE" w:rsidRPr="00267CB0" w:rsidRDefault="006A31AE" w:rsidP="006A31AE">
      <w:pPr>
        <w:spacing w:after="0" w:line="276" w:lineRule="auto"/>
        <w:rPr>
          <w:rFonts w:ascii="Arial" w:eastAsia="Calibri" w:hAnsi="Arial" w:cs="Arial"/>
          <w:sz w:val="24"/>
          <w:szCs w:val="24"/>
          <w:lang w:eastAsia="en-GB"/>
        </w:rPr>
      </w:pPr>
    </w:p>
    <w:p w:rsidR="0019496D" w:rsidRPr="00333D16" w:rsidRDefault="0019496D" w:rsidP="00333D16">
      <w:pPr>
        <w:spacing w:after="0" w:line="240" w:lineRule="auto"/>
        <w:outlineLvl w:val="0"/>
        <w:rPr>
          <w:rFonts w:ascii="Arial" w:eastAsia="Times New Roman" w:hAnsi="Arial" w:cs="Arial"/>
          <w:b/>
          <w:bCs/>
          <w:color w:val="701471"/>
          <w:sz w:val="28"/>
          <w:szCs w:val="24"/>
          <w:lang w:eastAsia="en-GB"/>
        </w:rPr>
      </w:pPr>
      <w:r w:rsidRPr="00333D16">
        <w:rPr>
          <w:rFonts w:ascii="Arial" w:eastAsia="Times New Roman" w:hAnsi="Arial" w:cs="Arial"/>
          <w:b/>
          <w:bCs/>
          <w:color w:val="701471"/>
          <w:sz w:val="28"/>
          <w:szCs w:val="24"/>
          <w:lang w:eastAsia="en-GB"/>
        </w:rPr>
        <w:t xml:space="preserve">Gang Crime </w:t>
      </w:r>
    </w:p>
    <w:p w:rsidR="0019496D" w:rsidRPr="00267CB0" w:rsidRDefault="0019496D" w:rsidP="006A31AE">
      <w:pPr>
        <w:spacing w:after="0" w:line="276" w:lineRule="auto"/>
        <w:rPr>
          <w:rFonts w:ascii="Arial" w:eastAsia="Calibri" w:hAnsi="Arial" w:cs="Arial"/>
          <w:sz w:val="24"/>
          <w:szCs w:val="24"/>
          <w:lang w:eastAsia="en-GB"/>
        </w:rPr>
      </w:pPr>
    </w:p>
    <w:p w:rsidR="00341837" w:rsidRPr="00267CB0" w:rsidRDefault="00341837" w:rsidP="00ED3040">
      <w:pPr>
        <w:spacing w:after="200" w:line="276" w:lineRule="auto"/>
        <w:rPr>
          <w:rFonts w:ascii="Arial" w:eastAsia="Calibri" w:hAnsi="Arial" w:cs="Arial"/>
          <w:sz w:val="24"/>
          <w:szCs w:val="24"/>
          <w:lang w:eastAsia="en-GB"/>
        </w:rPr>
      </w:pPr>
      <w:r w:rsidRPr="00267CB0">
        <w:rPr>
          <w:rFonts w:ascii="Arial" w:eastAsia="Calibri" w:hAnsi="Arial" w:cs="Arial"/>
          <w:sz w:val="24"/>
          <w:szCs w:val="24"/>
          <w:lang w:eastAsia="en-GB"/>
        </w:rPr>
        <w:t xml:space="preserve">The data on gang flagged offences for the rolling year to December 2017 has seen a slight rise to 34 in Croydon. Only the neighbouring boroughs of Lambeth (64) and Southwark (39) have a higher number of these offences.  </w:t>
      </w:r>
    </w:p>
    <w:p w:rsidR="00341837" w:rsidRPr="00267CB0" w:rsidRDefault="00341837" w:rsidP="00ED3040">
      <w:pPr>
        <w:spacing w:after="200" w:line="276" w:lineRule="auto"/>
        <w:rPr>
          <w:rFonts w:ascii="Arial" w:eastAsia="Calibri" w:hAnsi="Arial" w:cs="Arial"/>
          <w:sz w:val="24"/>
          <w:szCs w:val="24"/>
          <w:lang w:eastAsia="en-GB"/>
        </w:rPr>
      </w:pPr>
    </w:p>
    <w:p w:rsidR="006A31AE" w:rsidRPr="00267CB0" w:rsidRDefault="00341837" w:rsidP="00ED3040">
      <w:pPr>
        <w:spacing w:after="200" w:line="276" w:lineRule="auto"/>
        <w:rPr>
          <w:rFonts w:ascii="Arial" w:eastAsia="Calibri" w:hAnsi="Arial" w:cs="Arial"/>
          <w:sz w:val="24"/>
          <w:szCs w:val="24"/>
          <w:lang w:eastAsia="en-GB"/>
        </w:rPr>
      </w:pPr>
      <w:r w:rsidRPr="00267CB0">
        <w:rPr>
          <w:rFonts w:ascii="Arial" w:eastAsia="Calibri" w:hAnsi="Arial" w:cs="Arial"/>
          <w:sz w:val="24"/>
          <w:szCs w:val="24"/>
          <w:u w:val="single"/>
          <w:lang w:eastAsia="en-GB"/>
        </w:rPr>
        <w:t>Fig</w:t>
      </w:r>
      <w:r w:rsidR="006A31AE" w:rsidRPr="00267CB0">
        <w:rPr>
          <w:rFonts w:ascii="Arial" w:eastAsia="Times New Roman" w:hAnsi="Arial" w:cs="Arial"/>
          <w:bCs/>
          <w:sz w:val="24"/>
          <w:szCs w:val="24"/>
          <w:u w:val="single"/>
          <w:lang w:eastAsia="en-GB"/>
        </w:rPr>
        <w:t>ure 10 - Number of gang flagged offences</w:t>
      </w:r>
    </w:p>
    <w:p w:rsidR="006A31AE" w:rsidRPr="00267CB0" w:rsidRDefault="00ED3040" w:rsidP="006A31AE">
      <w:pPr>
        <w:spacing w:after="0" w:line="276" w:lineRule="auto"/>
        <w:rPr>
          <w:rFonts w:ascii="Arial" w:eastAsia="Calibri" w:hAnsi="Arial" w:cs="Arial"/>
          <w:sz w:val="24"/>
          <w:szCs w:val="24"/>
          <w:lang w:eastAsia="en-GB"/>
        </w:rPr>
      </w:pPr>
      <w:r w:rsidRPr="00267CB0">
        <w:rPr>
          <w:noProof/>
          <w:lang w:eastAsia="en-GB"/>
        </w:rPr>
        <w:drawing>
          <wp:inline distT="0" distB="0" distL="0" distR="0" wp14:anchorId="0AF77C82" wp14:editId="29AFEC11">
            <wp:extent cx="4206875" cy="2524125"/>
            <wp:effectExtent l="0" t="0" r="3175" b="9525"/>
            <wp:docPr id="2067" name="Chart 206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r w:rsidRPr="00267CB0">
        <w:rPr>
          <w:rFonts w:ascii="Arial" w:eastAsia="Calibri" w:hAnsi="Arial" w:cs="Arial"/>
          <w:noProof/>
          <w:sz w:val="24"/>
          <w:szCs w:val="24"/>
          <w:lang w:eastAsia="en-GB"/>
        </w:rPr>
        <w:t xml:space="preserve"> </w:t>
      </w:r>
    </w:p>
    <w:p w:rsidR="006A31AE" w:rsidRPr="002235F2" w:rsidRDefault="006A31AE" w:rsidP="006A31AE">
      <w:pPr>
        <w:spacing w:after="200" w:line="276" w:lineRule="auto"/>
        <w:rPr>
          <w:rFonts w:ascii="Arial" w:eastAsia="Calibri" w:hAnsi="Arial" w:cs="Arial"/>
          <w:sz w:val="20"/>
          <w:szCs w:val="20"/>
          <w:lang w:eastAsia="en-GB"/>
        </w:rPr>
      </w:pPr>
      <w:r w:rsidRPr="002235F2">
        <w:rPr>
          <w:rFonts w:ascii="Arial" w:eastAsia="Calibri" w:hAnsi="Arial" w:cs="Arial"/>
          <w:sz w:val="20"/>
          <w:szCs w:val="20"/>
          <w:lang w:eastAsia="en-GB"/>
        </w:rPr>
        <w:t>Source: MOPAC</w:t>
      </w:r>
      <w:r w:rsidR="00ED3040" w:rsidRPr="002235F2">
        <w:rPr>
          <w:rFonts w:ascii="Arial" w:eastAsia="Calibri" w:hAnsi="Arial" w:cs="Arial"/>
          <w:sz w:val="20"/>
          <w:szCs w:val="20"/>
          <w:lang w:eastAsia="en-GB"/>
        </w:rPr>
        <w:t xml:space="preserve"> Gangs dashboard</w:t>
      </w:r>
    </w:p>
    <w:p w:rsidR="007D5923" w:rsidRDefault="007D5923" w:rsidP="006A31AE">
      <w:pPr>
        <w:spacing w:after="200" w:line="276" w:lineRule="auto"/>
        <w:rPr>
          <w:rFonts w:ascii="Arial" w:eastAsia="Calibri" w:hAnsi="Arial" w:cs="Arial"/>
          <w:sz w:val="24"/>
          <w:szCs w:val="24"/>
          <w:lang w:eastAsia="en-GB"/>
        </w:rPr>
      </w:pPr>
    </w:p>
    <w:p w:rsidR="006A50E0" w:rsidRDefault="006A50E0" w:rsidP="00333D16">
      <w:pPr>
        <w:spacing w:after="0" w:line="240" w:lineRule="auto"/>
        <w:outlineLvl w:val="0"/>
        <w:rPr>
          <w:rFonts w:ascii="Arial" w:eastAsia="Times New Roman" w:hAnsi="Arial" w:cs="Arial"/>
          <w:b/>
          <w:bCs/>
          <w:color w:val="701471"/>
          <w:sz w:val="28"/>
          <w:szCs w:val="24"/>
          <w:lang w:eastAsia="en-GB"/>
        </w:rPr>
      </w:pPr>
    </w:p>
    <w:p w:rsidR="00596A1A" w:rsidRDefault="00596A1A" w:rsidP="00333D16">
      <w:pPr>
        <w:spacing w:after="0" w:line="240" w:lineRule="auto"/>
        <w:outlineLvl w:val="0"/>
        <w:rPr>
          <w:rFonts w:ascii="Arial" w:eastAsia="Times New Roman" w:hAnsi="Arial" w:cs="Arial"/>
          <w:b/>
          <w:bCs/>
          <w:color w:val="701471"/>
          <w:sz w:val="28"/>
          <w:szCs w:val="24"/>
          <w:lang w:eastAsia="en-GB"/>
        </w:rPr>
      </w:pPr>
    </w:p>
    <w:p w:rsidR="00341837" w:rsidRPr="00333D16" w:rsidRDefault="0019496D" w:rsidP="00333D16">
      <w:pPr>
        <w:spacing w:after="0" w:line="240" w:lineRule="auto"/>
        <w:outlineLvl w:val="0"/>
        <w:rPr>
          <w:rFonts w:ascii="Arial" w:eastAsia="Times New Roman" w:hAnsi="Arial" w:cs="Arial"/>
          <w:b/>
          <w:bCs/>
          <w:color w:val="701471"/>
          <w:sz w:val="28"/>
          <w:szCs w:val="24"/>
          <w:lang w:eastAsia="en-GB"/>
        </w:rPr>
      </w:pPr>
      <w:r w:rsidRPr="00333D16">
        <w:rPr>
          <w:rFonts w:ascii="Arial" w:eastAsia="Times New Roman" w:hAnsi="Arial" w:cs="Arial"/>
          <w:b/>
          <w:bCs/>
          <w:color w:val="701471"/>
          <w:sz w:val="28"/>
          <w:szCs w:val="24"/>
          <w:lang w:eastAsia="en-GB"/>
        </w:rPr>
        <w:t>Serious Youth Violence</w:t>
      </w:r>
    </w:p>
    <w:p w:rsidR="00341837" w:rsidRPr="00267CB0" w:rsidRDefault="00341837" w:rsidP="006A31AE">
      <w:pPr>
        <w:spacing w:after="0" w:line="240" w:lineRule="auto"/>
        <w:rPr>
          <w:rFonts w:ascii="Arial" w:eastAsia="Times New Roman" w:hAnsi="Arial" w:cs="Arial"/>
          <w:bCs/>
          <w:sz w:val="24"/>
          <w:szCs w:val="24"/>
          <w:lang w:eastAsia="en-GB"/>
        </w:rPr>
      </w:pPr>
    </w:p>
    <w:p w:rsidR="00341837" w:rsidRPr="00267CB0" w:rsidRDefault="006A31AE" w:rsidP="006A31AE">
      <w:pPr>
        <w:spacing w:after="0" w:line="240" w:lineRule="auto"/>
        <w:rPr>
          <w:rFonts w:ascii="Arial" w:eastAsia="Times New Roman" w:hAnsi="Arial" w:cs="Arial"/>
          <w:bCs/>
          <w:sz w:val="24"/>
          <w:szCs w:val="24"/>
          <w:lang w:eastAsia="en-GB"/>
        </w:rPr>
      </w:pPr>
      <w:r w:rsidRPr="00267CB0">
        <w:rPr>
          <w:rFonts w:ascii="Arial" w:eastAsia="Times New Roman" w:hAnsi="Arial" w:cs="Arial"/>
          <w:bCs/>
          <w:sz w:val="24"/>
          <w:szCs w:val="24"/>
          <w:lang w:eastAsia="en-GB"/>
        </w:rPr>
        <w:t xml:space="preserve">Serious youth violence covers offences where serious violence is committed against a young person. This is an increasing issue in Croydon </w:t>
      </w:r>
      <w:r w:rsidR="00341837" w:rsidRPr="00267CB0">
        <w:rPr>
          <w:rFonts w:ascii="Arial" w:eastAsia="Times New Roman" w:hAnsi="Arial" w:cs="Arial"/>
          <w:bCs/>
          <w:sz w:val="24"/>
          <w:szCs w:val="24"/>
          <w:lang w:eastAsia="en-GB"/>
        </w:rPr>
        <w:t>which has the largest youth population in London.</w:t>
      </w:r>
    </w:p>
    <w:p w:rsidR="00341837" w:rsidRPr="00267CB0" w:rsidRDefault="00341837" w:rsidP="006A31AE">
      <w:pPr>
        <w:spacing w:after="0" w:line="240" w:lineRule="auto"/>
        <w:rPr>
          <w:rFonts w:ascii="Arial" w:eastAsia="Times New Roman" w:hAnsi="Arial" w:cs="Arial"/>
          <w:bCs/>
          <w:sz w:val="24"/>
          <w:szCs w:val="24"/>
          <w:lang w:eastAsia="en-GB"/>
        </w:rPr>
      </w:pPr>
    </w:p>
    <w:p w:rsidR="006A31AE" w:rsidRPr="00267CB0" w:rsidRDefault="00341837" w:rsidP="006A31AE">
      <w:pPr>
        <w:spacing w:after="0" w:line="240" w:lineRule="auto"/>
        <w:rPr>
          <w:rFonts w:ascii="Arial" w:eastAsia="Times New Roman" w:hAnsi="Arial" w:cs="Arial"/>
          <w:bCs/>
          <w:sz w:val="24"/>
          <w:szCs w:val="24"/>
          <w:lang w:eastAsia="en-GB"/>
        </w:rPr>
      </w:pPr>
      <w:r w:rsidRPr="00267CB0">
        <w:rPr>
          <w:rFonts w:ascii="Arial" w:eastAsia="Times New Roman" w:hAnsi="Arial" w:cs="Arial"/>
          <w:bCs/>
          <w:sz w:val="24"/>
          <w:szCs w:val="24"/>
          <w:lang w:eastAsia="en-GB"/>
        </w:rPr>
        <w:t>Th</w:t>
      </w:r>
      <w:r w:rsidR="006A31AE" w:rsidRPr="00267CB0">
        <w:rPr>
          <w:rFonts w:ascii="Arial" w:eastAsia="Times New Roman" w:hAnsi="Arial" w:cs="Arial"/>
          <w:bCs/>
          <w:sz w:val="24"/>
          <w:szCs w:val="24"/>
          <w:lang w:eastAsia="en-GB"/>
        </w:rPr>
        <w:t xml:space="preserve">e number of victims of serious youth violence has increased slightly in recent years. </w:t>
      </w:r>
    </w:p>
    <w:p w:rsidR="006A31AE" w:rsidRPr="00267CB0" w:rsidRDefault="006A31AE" w:rsidP="006A31AE">
      <w:pPr>
        <w:spacing w:after="0" w:line="240" w:lineRule="auto"/>
        <w:rPr>
          <w:rFonts w:ascii="Arial" w:eastAsia="Times New Roman" w:hAnsi="Arial" w:cs="Arial"/>
          <w:bCs/>
          <w:sz w:val="24"/>
          <w:szCs w:val="24"/>
          <w:lang w:eastAsia="en-GB"/>
        </w:rPr>
      </w:pPr>
    </w:p>
    <w:p w:rsidR="006A31AE" w:rsidRPr="00267CB0" w:rsidRDefault="006A31AE" w:rsidP="006A31AE">
      <w:pPr>
        <w:spacing w:after="0" w:line="240" w:lineRule="auto"/>
        <w:rPr>
          <w:rFonts w:ascii="Arial" w:eastAsia="Times New Roman" w:hAnsi="Arial" w:cs="Arial"/>
          <w:bCs/>
          <w:sz w:val="24"/>
          <w:szCs w:val="24"/>
          <w:lang w:eastAsia="en-GB"/>
        </w:rPr>
      </w:pPr>
    </w:p>
    <w:p w:rsidR="006A31AE" w:rsidRPr="00267CB0" w:rsidRDefault="006A31AE" w:rsidP="006A31AE">
      <w:pPr>
        <w:spacing w:after="0" w:line="240" w:lineRule="auto"/>
        <w:rPr>
          <w:rFonts w:ascii="Arial" w:eastAsia="Times New Roman" w:hAnsi="Arial" w:cs="Arial"/>
          <w:bCs/>
          <w:sz w:val="24"/>
          <w:szCs w:val="24"/>
          <w:u w:val="single"/>
          <w:lang w:eastAsia="en-GB"/>
        </w:rPr>
      </w:pPr>
      <w:r w:rsidRPr="00267CB0">
        <w:rPr>
          <w:rFonts w:ascii="Arial" w:eastAsia="Times New Roman" w:hAnsi="Arial" w:cs="Arial"/>
          <w:bCs/>
          <w:sz w:val="24"/>
          <w:szCs w:val="24"/>
          <w:u w:val="single"/>
          <w:lang w:eastAsia="en-GB"/>
        </w:rPr>
        <w:t>Figure 11 – Number of victims of serious youth violence</w:t>
      </w:r>
    </w:p>
    <w:p w:rsidR="006A31AE" w:rsidRPr="00267CB0" w:rsidRDefault="006A31AE" w:rsidP="006A31AE">
      <w:pPr>
        <w:spacing w:after="0" w:line="240" w:lineRule="auto"/>
        <w:rPr>
          <w:rFonts w:ascii="Arial" w:eastAsia="Times New Roman" w:hAnsi="Arial" w:cs="Arial"/>
          <w:bCs/>
          <w:sz w:val="24"/>
          <w:szCs w:val="24"/>
          <w:lang w:eastAsia="en-GB"/>
        </w:rPr>
      </w:pPr>
    </w:p>
    <w:p w:rsidR="00341837" w:rsidRPr="00670E7E" w:rsidRDefault="00341837" w:rsidP="006A31AE">
      <w:pPr>
        <w:spacing w:after="0" w:line="240" w:lineRule="auto"/>
        <w:rPr>
          <w:rFonts w:ascii="Arial" w:eastAsia="Times New Roman" w:hAnsi="Arial" w:cs="Arial"/>
          <w:bCs/>
          <w:sz w:val="24"/>
          <w:szCs w:val="24"/>
          <w:lang w:eastAsia="en-GB"/>
        </w:rPr>
      </w:pPr>
      <w:r>
        <w:rPr>
          <w:noProof/>
          <w:lang w:eastAsia="en-GB"/>
        </w:rPr>
        <w:lastRenderedPageBreak/>
        <w:drawing>
          <wp:inline distT="0" distB="0" distL="0" distR="0" wp14:anchorId="6A3794B8" wp14:editId="29023ADB">
            <wp:extent cx="3954780" cy="2392680"/>
            <wp:effectExtent l="0" t="0" r="7620" b="7620"/>
            <wp:docPr id="2069" name="Chart 206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341837" w:rsidRPr="002235F2" w:rsidRDefault="00341837" w:rsidP="00341837">
      <w:pPr>
        <w:spacing w:after="200" w:line="276" w:lineRule="auto"/>
        <w:rPr>
          <w:rFonts w:ascii="Arial" w:eastAsia="Calibri" w:hAnsi="Arial" w:cs="Arial"/>
          <w:sz w:val="20"/>
          <w:szCs w:val="20"/>
          <w:lang w:eastAsia="en-GB"/>
        </w:rPr>
      </w:pPr>
      <w:bookmarkStart w:id="30" w:name="_Hate_crime"/>
      <w:bookmarkEnd w:id="30"/>
      <w:r w:rsidRPr="002235F2">
        <w:rPr>
          <w:rFonts w:ascii="Arial" w:eastAsia="Calibri" w:hAnsi="Arial" w:cs="Arial"/>
          <w:sz w:val="20"/>
          <w:szCs w:val="20"/>
          <w:lang w:eastAsia="en-GB"/>
        </w:rPr>
        <w:t>Source: MOPAC Gangs dashboard</w:t>
      </w:r>
    </w:p>
    <w:p w:rsidR="006A31AE" w:rsidRPr="006A31AE" w:rsidRDefault="006A31AE" w:rsidP="006A31AE">
      <w:pPr>
        <w:spacing w:after="0" w:line="240" w:lineRule="auto"/>
        <w:outlineLvl w:val="1"/>
        <w:rPr>
          <w:rFonts w:ascii="Arial" w:eastAsia="Times New Roman" w:hAnsi="Arial" w:cs="Arial"/>
          <w:bCs/>
          <w:color w:val="006600"/>
          <w:sz w:val="28"/>
          <w:szCs w:val="24"/>
          <w:lang w:eastAsia="en-GB"/>
        </w:rPr>
      </w:pPr>
    </w:p>
    <w:p w:rsidR="006A31AE" w:rsidRDefault="006A31AE" w:rsidP="006A31AE">
      <w:pPr>
        <w:spacing w:after="0" w:line="240" w:lineRule="auto"/>
        <w:outlineLvl w:val="1"/>
        <w:rPr>
          <w:rFonts w:ascii="Arial" w:eastAsia="Times New Roman" w:hAnsi="Arial" w:cs="Arial"/>
          <w:b/>
          <w:bCs/>
          <w:color w:val="00B050"/>
          <w:sz w:val="28"/>
          <w:szCs w:val="24"/>
          <w:lang w:eastAsia="en-GB"/>
        </w:rPr>
      </w:pPr>
    </w:p>
    <w:p w:rsidR="00D323BC" w:rsidRDefault="00D20927" w:rsidP="006A31AE">
      <w:pPr>
        <w:spacing w:after="0" w:line="240" w:lineRule="auto"/>
        <w:outlineLvl w:val="1"/>
        <w:rPr>
          <w:rFonts w:ascii="Arial" w:eastAsia="Times New Roman" w:hAnsi="Arial" w:cs="Arial"/>
          <w:b/>
          <w:bCs/>
          <w:color w:val="00B050"/>
          <w:sz w:val="28"/>
          <w:szCs w:val="24"/>
          <w:lang w:eastAsia="en-GB"/>
        </w:rPr>
      </w:pPr>
      <w:r>
        <w:rPr>
          <w:rFonts w:ascii="Arial" w:eastAsia="Times New Roman" w:hAnsi="Arial" w:cs="Arial"/>
          <w:b/>
          <w:bCs/>
          <w:color w:val="00B050"/>
          <w:sz w:val="28"/>
          <w:szCs w:val="24"/>
          <w:lang w:eastAsia="en-GB"/>
        </w:rPr>
        <w:t>K</w:t>
      </w:r>
      <w:r w:rsidR="00AB0745">
        <w:rPr>
          <w:rFonts w:ascii="Arial" w:eastAsia="Times New Roman" w:hAnsi="Arial" w:cs="Arial"/>
          <w:b/>
          <w:bCs/>
          <w:color w:val="00B050"/>
          <w:sz w:val="28"/>
          <w:szCs w:val="24"/>
          <w:lang w:eastAsia="en-GB"/>
        </w:rPr>
        <w:t xml:space="preserve">nife </w:t>
      </w:r>
      <w:r w:rsidR="00D323BC">
        <w:rPr>
          <w:rFonts w:ascii="Arial" w:eastAsia="Times New Roman" w:hAnsi="Arial" w:cs="Arial"/>
          <w:b/>
          <w:bCs/>
          <w:color w:val="00B050"/>
          <w:sz w:val="28"/>
          <w:szCs w:val="24"/>
          <w:lang w:eastAsia="en-GB"/>
        </w:rPr>
        <w:t>Crime</w:t>
      </w:r>
    </w:p>
    <w:p w:rsidR="009452E9" w:rsidRDefault="009452E9" w:rsidP="009452E9">
      <w:pPr>
        <w:autoSpaceDE w:val="0"/>
        <w:autoSpaceDN w:val="0"/>
        <w:adjustRightInd w:val="0"/>
        <w:spacing w:after="0" w:line="240" w:lineRule="auto"/>
        <w:rPr>
          <w:rFonts w:ascii="Foundry Form Sans" w:hAnsi="Foundry Form Sans" w:cs="Foundry Form Sans"/>
          <w:color w:val="000000"/>
          <w:sz w:val="23"/>
          <w:szCs w:val="23"/>
        </w:rPr>
      </w:pPr>
    </w:p>
    <w:p w:rsidR="00341837" w:rsidRDefault="009452E9" w:rsidP="00341837">
      <w:pPr>
        <w:spacing w:after="200" w:line="276" w:lineRule="auto"/>
        <w:rPr>
          <w:rFonts w:ascii="Arial" w:eastAsia="Calibri" w:hAnsi="Arial" w:cs="Arial"/>
          <w:sz w:val="24"/>
          <w:szCs w:val="24"/>
          <w:lang w:eastAsia="en-GB"/>
        </w:rPr>
      </w:pPr>
      <w:r w:rsidRPr="00341837">
        <w:rPr>
          <w:rFonts w:ascii="Arial" w:eastAsia="Calibri" w:hAnsi="Arial" w:cs="Arial"/>
          <w:sz w:val="24"/>
          <w:szCs w:val="24"/>
          <w:lang w:eastAsia="en-GB"/>
        </w:rPr>
        <w:t>The MOPAC Weapon enabled crime dashboard defines knife c</w:t>
      </w:r>
      <w:r w:rsidRPr="009452E9">
        <w:rPr>
          <w:rFonts w:ascii="Arial" w:eastAsia="Calibri" w:hAnsi="Arial" w:cs="Arial"/>
          <w:sz w:val="24"/>
          <w:szCs w:val="24"/>
          <w:lang w:eastAsia="en-GB"/>
        </w:rPr>
        <w:t>rime</w:t>
      </w:r>
      <w:r w:rsidRPr="00341837">
        <w:rPr>
          <w:rFonts w:ascii="Arial" w:eastAsia="Calibri" w:hAnsi="Arial" w:cs="Arial"/>
          <w:sz w:val="24"/>
          <w:szCs w:val="24"/>
          <w:lang w:eastAsia="en-GB"/>
        </w:rPr>
        <w:t xml:space="preserve"> as “all </w:t>
      </w:r>
      <w:r w:rsidRPr="009452E9">
        <w:rPr>
          <w:rFonts w:ascii="Arial" w:eastAsia="Calibri" w:hAnsi="Arial" w:cs="Arial"/>
          <w:sz w:val="24"/>
          <w:szCs w:val="24"/>
          <w:lang w:eastAsia="en-GB"/>
        </w:rPr>
        <w:t xml:space="preserve">offences of murder, attempted murder, threats to kill, manslaughter, infanticide, wounding or carrying out an act endangering life, GBH without intent, ABH and other injury, sexual assault, rape, robbery where a knife or sharp instrument has been used. </w:t>
      </w:r>
      <w:r w:rsidRPr="00341837">
        <w:rPr>
          <w:rFonts w:ascii="Arial" w:eastAsia="Calibri" w:hAnsi="Arial" w:cs="Arial"/>
          <w:sz w:val="24"/>
          <w:szCs w:val="24"/>
          <w:lang w:eastAsia="en-GB"/>
        </w:rPr>
        <w:t xml:space="preserve"> The definition excludes s</w:t>
      </w:r>
      <w:r w:rsidRPr="009452E9">
        <w:rPr>
          <w:rFonts w:ascii="Arial" w:eastAsia="Calibri" w:hAnsi="Arial" w:cs="Arial"/>
          <w:sz w:val="24"/>
          <w:szCs w:val="24"/>
          <w:lang w:eastAsia="en-GB"/>
        </w:rPr>
        <w:t xml:space="preserve">imple possession </w:t>
      </w:r>
      <w:r w:rsidRPr="00341837">
        <w:rPr>
          <w:rFonts w:ascii="Arial" w:eastAsia="Calibri" w:hAnsi="Arial" w:cs="Arial"/>
          <w:sz w:val="24"/>
          <w:szCs w:val="24"/>
          <w:lang w:eastAsia="en-GB"/>
        </w:rPr>
        <w:t>i.e. w</w:t>
      </w:r>
      <w:r w:rsidRPr="009452E9">
        <w:rPr>
          <w:rFonts w:ascii="Arial" w:eastAsia="Calibri" w:hAnsi="Arial" w:cs="Arial"/>
          <w:sz w:val="24"/>
          <w:szCs w:val="24"/>
          <w:lang w:eastAsia="en-GB"/>
        </w:rPr>
        <w:t>hen a police search results in a discovery of possession of a weapon</w:t>
      </w:r>
      <w:r w:rsidRPr="00341837">
        <w:rPr>
          <w:rFonts w:ascii="Arial" w:eastAsia="Calibri" w:hAnsi="Arial" w:cs="Arial"/>
          <w:sz w:val="24"/>
          <w:szCs w:val="24"/>
          <w:lang w:eastAsia="en-GB"/>
        </w:rPr>
        <w:t>.</w:t>
      </w:r>
    </w:p>
    <w:p w:rsidR="00C01780" w:rsidRDefault="00C01780" w:rsidP="00341837">
      <w:pPr>
        <w:spacing w:after="200" w:line="276" w:lineRule="auto"/>
        <w:rPr>
          <w:rFonts w:ascii="Arial" w:eastAsia="Calibri" w:hAnsi="Arial" w:cs="Arial"/>
          <w:sz w:val="24"/>
          <w:szCs w:val="24"/>
          <w:lang w:eastAsia="en-GB"/>
        </w:rPr>
      </w:pPr>
    </w:p>
    <w:p w:rsidR="00341837" w:rsidRPr="00341837" w:rsidRDefault="00341837" w:rsidP="00341837">
      <w:pPr>
        <w:spacing w:after="200" w:line="276" w:lineRule="auto"/>
        <w:rPr>
          <w:rFonts w:ascii="Arial" w:eastAsia="Calibri" w:hAnsi="Arial" w:cs="Arial"/>
          <w:sz w:val="24"/>
          <w:szCs w:val="24"/>
          <w:lang w:eastAsia="en-GB"/>
        </w:rPr>
      </w:pPr>
      <w:r w:rsidRPr="00C01780">
        <w:rPr>
          <w:rFonts w:ascii="Arial" w:eastAsia="Calibri" w:hAnsi="Arial" w:cs="Arial"/>
          <w:sz w:val="24"/>
          <w:szCs w:val="24"/>
          <w:lang w:eastAsia="en-GB"/>
        </w:rPr>
        <w:t>Knife crime with injury constitutes a knife crime that has been committed in which the victim has received any form of injury because of the incident.</w:t>
      </w:r>
    </w:p>
    <w:p w:rsidR="00C01780" w:rsidRDefault="00C01780" w:rsidP="00341837">
      <w:pPr>
        <w:spacing w:after="200" w:line="276" w:lineRule="auto"/>
        <w:rPr>
          <w:rFonts w:ascii="Arial" w:eastAsia="Calibri" w:hAnsi="Arial" w:cs="Arial"/>
          <w:sz w:val="24"/>
          <w:szCs w:val="24"/>
          <w:lang w:eastAsia="en-GB"/>
        </w:rPr>
      </w:pPr>
    </w:p>
    <w:p w:rsidR="00D323BC" w:rsidRPr="00341837" w:rsidRDefault="009452E9" w:rsidP="00341837">
      <w:pPr>
        <w:spacing w:after="200" w:line="276" w:lineRule="auto"/>
        <w:rPr>
          <w:rFonts w:ascii="Arial" w:eastAsia="Calibri" w:hAnsi="Arial" w:cs="Arial"/>
          <w:sz w:val="24"/>
          <w:szCs w:val="24"/>
          <w:lang w:eastAsia="en-GB"/>
        </w:rPr>
      </w:pPr>
      <w:r w:rsidRPr="00341837">
        <w:rPr>
          <w:rFonts w:ascii="Arial" w:eastAsia="Calibri" w:hAnsi="Arial" w:cs="Arial"/>
          <w:sz w:val="24"/>
          <w:szCs w:val="24"/>
          <w:lang w:eastAsia="en-GB"/>
        </w:rPr>
        <w:t>Figure 12 shows that d</w:t>
      </w:r>
      <w:r w:rsidR="00AB0745" w:rsidRPr="00341837">
        <w:rPr>
          <w:rFonts w:ascii="Arial" w:eastAsia="Calibri" w:hAnsi="Arial" w:cs="Arial"/>
          <w:sz w:val="24"/>
          <w:szCs w:val="24"/>
          <w:lang w:eastAsia="en-GB"/>
        </w:rPr>
        <w:t>uring the 12 months to 30. September 2018, there were 593 knife crimes in Croydon.  Of these 180 (30.4%) resulted in injuries.</w:t>
      </w:r>
      <w:r w:rsidRPr="00341837">
        <w:rPr>
          <w:rFonts w:ascii="Arial" w:eastAsia="Calibri" w:hAnsi="Arial" w:cs="Arial"/>
          <w:sz w:val="24"/>
          <w:szCs w:val="24"/>
          <w:lang w:eastAsia="en-GB"/>
        </w:rPr>
        <w:t xml:space="preserve"> The 593 offences made up 3.7% of all knife crimes in London (i.e. all the 33 London councils).</w:t>
      </w:r>
    </w:p>
    <w:p w:rsidR="00D323BC" w:rsidRPr="00341837" w:rsidRDefault="00D323BC" w:rsidP="00341837">
      <w:pPr>
        <w:spacing w:after="200" w:line="276" w:lineRule="auto"/>
        <w:rPr>
          <w:rFonts w:ascii="Arial" w:eastAsia="Calibri" w:hAnsi="Arial" w:cs="Arial"/>
          <w:sz w:val="24"/>
          <w:szCs w:val="24"/>
          <w:lang w:eastAsia="en-GB"/>
        </w:rPr>
      </w:pPr>
    </w:p>
    <w:p w:rsidR="006A50E0" w:rsidRDefault="006A50E0" w:rsidP="00D323BC">
      <w:pPr>
        <w:spacing w:after="0" w:line="240" w:lineRule="auto"/>
        <w:rPr>
          <w:rFonts w:ascii="Arial" w:eastAsia="Times New Roman" w:hAnsi="Arial" w:cs="Arial"/>
          <w:bCs/>
          <w:sz w:val="24"/>
          <w:szCs w:val="24"/>
          <w:u w:val="single"/>
          <w:lang w:eastAsia="en-GB"/>
        </w:rPr>
      </w:pPr>
    </w:p>
    <w:p w:rsidR="006A50E0" w:rsidRDefault="006A50E0" w:rsidP="00D323BC">
      <w:pPr>
        <w:spacing w:after="0" w:line="240" w:lineRule="auto"/>
        <w:rPr>
          <w:rFonts w:ascii="Arial" w:eastAsia="Times New Roman" w:hAnsi="Arial" w:cs="Arial"/>
          <w:bCs/>
          <w:sz w:val="24"/>
          <w:szCs w:val="24"/>
          <w:u w:val="single"/>
          <w:lang w:eastAsia="en-GB"/>
        </w:rPr>
      </w:pPr>
    </w:p>
    <w:p w:rsidR="006A50E0" w:rsidRDefault="006A50E0" w:rsidP="00D323BC">
      <w:pPr>
        <w:spacing w:after="0" w:line="240" w:lineRule="auto"/>
        <w:rPr>
          <w:rFonts w:ascii="Arial" w:eastAsia="Times New Roman" w:hAnsi="Arial" w:cs="Arial"/>
          <w:bCs/>
          <w:sz w:val="24"/>
          <w:szCs w:val="24"/>
          <w:u w:val="single"/>
          <w:lang w:eastAsia="en-GB"/>
        </w:rPr>
      </w:pPr>
    </w:p>
    <w:p w:rsidR="006A50E0" w:rsidRDefault="006A50E0" w:rsidP="00D323BC">
      <w:pPr>
        <w:spacing w:after="0" w:line="240" w:lineRule="auto"/>
        <w:rPr>
          <w:rFonts w:ascii="Arial" w:eastAsia="Times New Roman" w:hAnsi="Arial" w:cs="Arial"/>
          <w:bCs/>
          <w:sz w:val="24"/>
          <w:szCs w:val="24"/>
          <w:u w:val="single"/>
          <w:lang w:eastAsia="en-GB"/>
        </w:rPr>
      </w:pPr>
    </w:p>
    <w:p w:rsidR="006A50E0" w:rsidRDefault="006A50E0" w:rsidP="00D323BC">
      <w:pPr>
        <w:spacing w:after="0" w:line="240" w:lineRule="auto"/>
        <w:rPr>
          <w:rFonts w:ascii="Arial" w:eastAsia="Times New Roman" w:hAnsi="Arial" w:cs="Arial"/>
          <w:bCs/>
          <w:sz w:val="24"/>
          <w:szCs w:val="24"/>
          <w:u w:val="single"/>
          <w:lang w:eastAsia="en-GB"/>
        </w:rPr>
      </w:pPr>
    </w:p>
    <w:p w:rsidR="006A50E0" w:rsidRDefault="006A50E0" w:rsidP="00D323BC">
      <w:pPr>
        <w:spacing w:after="0" w:line="240" w:lineRule="auto"/>
        <w:rPr>
          <w:rFonts w:ascii="Arial" w:eastAsia="Times New Roman" w:hAnsi="Arial" w:cs="Arial"/>
          <w:bCs/>
          <w:sz w:val="24"/>
          <w:szCs w:val="24"/>
          <w:u w:val="single"/>
          <w:lang w:eastAsia="en-GB"/>
        </w:rPr>
      </w:pPr>
    </w:p>
    <w:p w:rsidR="006A50E0" w:rsidRDefault="006A50E0" w:rsidP="00D323BC">
      <w:pPr>
        <w:spacing w:after="0" w:line="240" w:lineRule="auto"/>
        <w:rPr>
          <w:rFonts w:ascii="Arial" w:eastAsia="Times New Roman" w:hAnsi="Arial" w:cs="Arial"/>
          <w:bCs/>
          <w:sz w:val="24"/>
          <w:szCs w:val="24"/>
          <w:u w:val="single"/>
          <w:lang w:eastAsia="en-GB"/>
        </w:rPr>
      </w:pPr>
    </w:p>
    <w:p w:rsidR="00D323BC" w:rsidRPr="00C01780" w:rsidRDefault="00C01780" w:rsidP="00D323BC">
      <w:pPr>
        <w:spacing w:after="0" w:line="240" w:lineRule="auto"/>
        <w:rPr>
          <w:rFonts w:ascii="Arial" w:eastAsia="Times New Roman" w:hAnsi="Arial" w:cs="Arial"/>
          <w:b/>
          <w:bCs/>
          <w:sz w:val="28"/>
          <w:szCs w:val="24"/>
          <w:lang w:eastAsia="en-GB"/>
        </w:rPr>
      </w:pPr>
      <w:r>
        <w:rPr>
          <w:rFonts w:ascii="Arial" w:eastAsia="Times New Roman" w:hAnsi="Arial" w:cs="Arial"/>
          <w:bCs/>
          <w:sz w:val="24"/>
          <w:szCs w:val="24"/>
          <w:u w:val="single"/>
          <w:lang w:eastAsia="en-GB"/>
        </w:rPr>
        <w:lastRenderedPageBreak/>
        <w:t>F</w:t>
      </w:r>
      <w:r w:rsidR="00D323BC" w:rsidRPr="007B5AAA">
        <w:rPr>
          <w:rFonts w:ascii="Arial" w:eastAsia="Times New Roman" w:hAnsi="Arial" w:cs="Arial"/>
          <w:bCs/>
          <w:sz w:val="24"/>
          <w:szCs w:val="24"/>
          <w:u w:val="single"/>
          <w:lang w:eastAsia="en-GB"/>
        </w:rPr>
        <w:t xml:space="preserve">igure </w:t>
      </w:r>
      <w:r w:rsidR="00AB0745">
        <w:rPr>
          <w:rFonts w:ascii="Arial" w:eastAsia="Times New Roman" w:hAnsi="Arial" w:cs="Arial"/>
          <w:bCs/>
          <w:sz w:val="24"/>
          <w:szCs w:val="24"/>
          <w:u w:val="single"/>
          <w:lang w:eastAsia="en-GB"/>
        </w:rPr>
        <w:t>12</w:t>
      </w:r>
      <w:r w:rsidR="00D323BC" w:rsidRPr="007B5AAA">
        <w:rPr>
          <w:rFonts w:ascii="Arial" w:eastAsia="Times New Roman" w:hAnsi="Arial" w:cs="Arial"/>
          <w:bCs/>
          <w:sz w:val="24"/>
          <w:szCs w:val="24"/>
          <w:u w:val="single"/>
          <w:lang w:eastAsia="en-GB"/>
        </w:rPr>
        <w:t xml:space="preserve"> – Number of </w:t>
      </w:r>
      <w:r w:rsidR="00D323BC">
        <w:rPr>
          <w:rFonts w:ascii="Arial" w:eastAsia="Times New Roman" w:hAnsi="Arial" w:cs="Arial"/>
          <w:bCs/>
          <w:sz w:val="24"/>
          <w:szCs w:val="24"/>
          <w:u w:val="single"/>
          <w:lang w:eastAsia="en-GB"/>
        </w:rPr>
        <w:t>Knife Crimes in Croydon – Rolling 12 months up to 30. September 2018</w:t>
      </w:r>
      <w:r w:rsidR="00D323BC">
        <w:rPr>
          <w:noProof/>
          <w:lang w:eastAsia="en-GB"/>
        </w:rPr>
        <w:drawing>
          <wp:inline distT="0" distB="0" distL="0" distR="0" wp14:anchorId="51D4F088" wp14:editId="7F80726D">
            <wp:extent cx="4267200" cy="2844800"/>
            <wp:effectExtent l="0" t="0" r="0" b="12700"/>
            <wp:docPr id="2064" name="Chart 20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D323BC" w:rsidRPr="00C01780" w:rsidRDefault="00AB0745" w:rsidP="006A31AE">
      <w:pPr>
        <w:spacing w:after="0" w:line="240" w:lineRule="auto"/>
        <w:outlineLvl w:val="1"/>
        <w:rPr>
          <w:rFonts w:ascii="Arial" w:eastAsia="Times New Roman" w:hAnsi="Arial" w:cs="Arial"/>
          <w:bCs/>
          <w:sz w:val="20"/>
          <w:szCs w:val="20"/>
          <w:lang w:eastAsia="en-GB"/>
        </w:rPr>
      </w:pPr>
      <w:r w:rsidRPr="00C01780">
        <w:rPr>
          <w:rFonts w:ascii="Arial" w:eastAsia="Times New Roman" w:hAnsi="Arial" w:cs="Arial"/>
          <w:bCs/>
          <w:sz w:val="20"/>
          <w:szCs w:val="20"/>
          <w:lang w:eastAsia="en-GB"/>
        </w:rPr>
        <w:t>Source : MOPAC, Weapon enabled crime dashboard</w:t>
      </w:r>
    </w:p>
    <w:p w:rsidR="00D323BC" w:rsidRPr="008A67BE" w:rsidRDefault="00D323BC" w:rsidP="006A31AE">
      <w:pPr>
        <w:spacing w:after="0" w:line="240" w:lineRule="auto"/>
        <w:outlineLvl w:val="1"/>
        <w:rPr>
          <w:rFonts w:ascii="Arial" w:eastAsia="Times New Roman" w:hAnsi="Arial" w:cs="Arial"/>
          <w:b/>
          <w:bCs/>
          <w:sz w:val="28"/>
          <w:szCs w:val="24"/>
          <w:lang w:eastAsia="en-GB"/>
        </w:rPr>
      </w:pPr>
    </w:p>
    <w:p w:rsidR="008B6DE3" w:rsidRPr="008A67BE" w:rsidRDefault="008B6DE3" w:rsidP="006A31AE">
      <w:pPr>
        <w:spacing w:after="0" w:line="240" w:lineRule="auto"/>
        <w:outlineLvl w:val="1"/>
        <w:rPr>
          <w:rFonts w:ascii="Arial" w:eastAsia="Times New Roman" w:hAnsi="Arial" w:cs="Arial"/>
          <w:b/>
          <w:bCs/>
          <w:sz w:val="28"/>
          <w:szCs w:val="24"/>
          <w:lang w:eastAsia="en-GB"/>
        </w:rPr>
      </w:pPr>
    </w:p>
    <w:p w:rsidR="00BC319F" w:rsidRDefault="00BC319F" w:rsidP="006A31AE">
      <w:pPr>
        <w:spacing w:after="0" w:line="240" w:lineRule="auto"/>
        <w:outlineLvl w:val="1"/>
        <w:rPr>
          <w:rFonts w:ascii="Arial" w:eastAsia="Times New Roman" w:hAnsi="Arial" w:cs="Arial"/>
          <w:b/>
          <w:bCs/>
          <w:sz w:val="28"/>
          <w:szCs w:val="24"/>
          <w:lang w:eastAsia="en-GB"/>
        </w:rPr>
      </w:pPr>
    </w:p>
    <w:p w:rsidR="006A50E0" w:rsidRDefault="006A50E0" w:rsidP="006A31AE">
      <w:pPr>
        <w:spacing w:after="0" w:line="240" w:lineRule="auto"/>
        <w:outlineLvl w:val="1"/>
        <w:rPr>
          <w:rFonts w:ascii="Arial" w:eastAsia="Times New Roman" w:hAnsi="Arial" w:cs="Arial"/>
          <w:b/>
          <w:bCs/>
          <w:sz w:val="28"/>
          <w:szCs w:val="24"/>
          <w:lang w:eastAsia="en-GB"/>
        </w:rPr>
      </w:pPr>
    </w:p>
    <w:p w:rsidR="006A50E0" w:rsidRDefault="006A50E0" w:rsidP="006A31AE">
      <w:pPr>
        <w:spacing w:after="0" w:line="240" w:lineRule="auto"/>
        <w:outlineLvl w:val="1"/>
        <w:rPr>
          <w:rFonts w:ascii="Arial" w:eastAsia="Times New Roman" w:hAnsi="Arial" w:cs="Arial"/>
          <w:b/>
          <w:bCs/>
          <w:sz w:val="28"/>
          <w:szCs w:val="24"/>
          <w:lang w:eastAsia="en-GB"/>
        </w:rPr>
      </w:pPr>
    </w:p>
    <w:p w:rsidR="006A50E0" w:rsidRDefault="006A50E0" w:rsidP="006A31AE">
      <w:pPr>
        <w:spacing w:after="0" w:line="240" w:lineRule="auto"/>
        <w:outlineLvl w:val="1"/>
        <w:rPr>
          <w:rFonts w:ascii="Arial" w:eastAsia="Times New Roman" w:hAnsi="Arial" w:cs="Arial"/>
          <w:b/>
          <w:bCs/>
          <w:sz w:val="28"/>
          <w:szCs w:val="24"/>
          <w:lang w:eastAsia="en-GB"/>
        </w:rPr>
      </w:pPr>
    </w:p>
    <w:p w:rsidR="006A50E0" w:rsidRDefault="006A50E0" w:rsidP="006A31AE">
      <w:pPr>
        <w:spacing w:after="0" w:line="240" w:lineRule="auto"/>
        <w:outlineLvl w:val="1"/>
        <w:rPr>
          <w:rFonts w:ascii="Arial" w:eastAsia="Times New Roman" w:hAnsi="Arial" w:cs="Arial"/>
          <w:b/>
          <w:bCs/>
          <w:sz w:val="28"/>
          <w:szCs w:val="24"/>
          <w:lang w:eastAsia="en-GB"/>
        </w:rPr>
      </w:pPr>
    </w:p>
    <w:p w:rsidR="006A50E0" w:rsidRDefault="006A50E0" w:rsidP="006A31AE">
      <w:pPr>
        <w:spacing w:after="0" w:line="240" w:lineRule="auto"/>
        <w:outlineLvl w:val="1"/>
        <w:rPr>
          <w:rFonts w:ascii="Arial" w:eastAsia="Times New Roman" w:hAnsi="Arial" w:cs="Arial"/>
          <w:b/>
          <w:bCs/>
          <w:sz w:val="28"/>
          <w:szCs w:val="24"/>
          <w:lang w:eastAsia="en-GB"/>
        </w:rPr>
      </w:pPr>
    </w:p>
    <w:p w:rsidR="006A50E0" w:rsidRPr="008A67BE" w:rsidRDefault="006A50E0" w:rsidP="006A31AE">
      <w:pPr>
        <w:spacing w:after="0" w:line="240" w:lineRule="auto"/>
        <w:outlineLvl w:val="1"/>
        <w:rPr>
          <w:rFonts w:ascii="Arial" w:eastAsia="Times New Roman" w:hAnsi="Arial" w:cs="Arial"/>
          <w:b/>
          <w:bCs/>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Hate crime</w:t>
      </w:r>
    </w:p>
    <w:p w:rsidR="007D76D6" w:rsidRPr="00341837" w:rsidRDefault="007D76D6" w:rsidP="007D76D6">
      <w:pPr>
        <w:rPr>
          <w:rFonts w:ascii="Arial" w:hAnsi="Arial" w:cs="Arial"/>
          <w:color w:val="353D42"/>
          <w:sz w:val="16"/>
          <w:szCs w:val="16"/>
          <w:lang w:val="en"/>
        </w:rPr>
      </w:pPr>
    </w:p>
    <w:p w:rsidR="00696B5C" w:rsidRDefault="007D76D6" w:rsidP="00C01780">
      <w:pPr>
        <w:spacing w:after="0" w:line="240" w:lineRule="auto"/>
        <w:rPr>
          <w:rFonts w:ascii="Arial" w:eastAsia="Calibri" w:hAnsi="Arial" w:cs="Arial"/>
          <w:sz w:val="24"/>
          <w:szCs w:val="24"/>
        </w:rPr>
      </w:pPr>
      <w:r w:rsidRPr="00696B5C">
        <w:rPr>
          <w:rFonts w:ascii="Arial" w:eastAsia="Calibri" w:hAnsi="Arial" w:cs="Arial"/>
          <w:sz w:val="24"/>
          <w:szCs w:val="24"/>
        </w:rPr>
        <w:t>The Hate Crime dashboard monitors the offending throughout the Metropolitan Police Service Boroughs. It includes data on victimisation, perpetrators/offenders identified and the overall public perception and victim satisfaction of those affect by hate crime.</w:t>
      </w:r>
      <w:r w:rsidR="00696B5C" w:rsidRPr="00696B5C">
        <w:rPr>
          <w:rFonts w:ascii="Arial" w:eastAsia="Calibri" w:hAnsi="Arial" w:cs="Arial"/>
          <w:sz w:val="24"/>
          <w:szCs w:val="24"/>
        </w:rPr>
        <w:t xml:space="preserve"> </w:t>
      </w:r>
    </w:p>
    <w:p w:rsidR="00C01780" w:rsidRDefault="00C01780" w:rsidP="00C01780">
      <w:pPr>
        <w:spacing w:after="0" w:line="240" w:lineRule="auto"/>
        <w:rPr>
          <w:rFonts w:ascii="Arial" w:eastAsia="Calibri" w:hAnsi="Arial" w:cs="Arial"/>
          <w:sz w:val="24"/>
          <w:szCs w:val="24"/>
        </w:rPr>
      </w:pPr>
    </w:p>
    <w:p w:rsidR="00C01780" w:rsidRPr="00696B5C" w:rsidRDefault="00C01780" w:rsidP="00C01780">
      <w:pPr>
        <w:spacing w:after="0" w:line="240" w:lineRule="auto"/>
        <w:rPr>
          <w:rFonts w:ascii="Arial" w:eastAsia="Calibri" w:hAnsi="Arial" w:cs="Arial"/>
          <w:sz w:val="24"/>
          <w:szCs w:val="24"/>
        </w:rPr>
      </w:pPr>
    </w:p>
    <w:p w:rsidR="00696B5C" w:rsidRPr="00696B5C" w:rsidRDefault="00696B5C" w:rsidP="00C01780">
      <w:pPr>
        <w:spacing w:after="0" w:line="240" w:lineRule="auto"/>
        <w:rPr>
          <w:rFonts w:ascii="Arial" w:eastAsia="Calibri" w:hAnsi="Arial" w:cs="Arial"/>
          <w:sz w:val="24"/>
          <w:szCs w:val="24"/>
        </w:rPr>
      </w:pPr>
      <w:r w:rsidRPr="00696B5C">
        <w:rPr>
          <w:rFonts w:ascii="Arial" w:eastAsia="Calibri" w:hAnsi="Arial" w:cs="Arial"/>
          <w:sz w:val="24"/>
          <w:szCs w:val="24"/>
        </w:rPr>
        <w:t>A hate crime is defined</w:t>
      </w:r>
      <w:r w:rsidR="00C01780">
        <w:rPr>
          <w:rFonts w:ascii="Arial" w:eastAsia="Calibri" w:hAnsi="Arial" w:cs="Arial"/>
          <w:sz w:val="24"/>
          <w:szCs w:val="24"/>
        </w:rPr>
        <w:t xml:space="preserve"> as “</w:t>
      </w:r>
      <w:r w:rsidRPr="00696B5C">
        <w:rPr>
          <w:rFonts w:ascii="Arial" w:eastAsia="Calibri" w:hAnsi="Arial" w:cs="Arial"/>
          <w:sz w:val="24"/>
          <w:szCs w:val="24"/>
        </w:rPr>
        <w:t>any incident that is perceived by the victim or any other person to be racist, homophobic, transphobic or due to a person’s religion, belief, gender identity or disability”</w:t>
      </w:r>
      <w:r w:rsidRPr="00C01780">
        <w:rPr>
          <w:rFonts w:ascii="Arial" w:eastAsia="Calibri" w:hAnsi="Arial" w:cs="Arial"/>
          <w:sz w:val="24"/>
          <w:szCs w:val="24"/>
          <w:vertAlign w:val="superscript"/>
        </w:rPr>
        <w:footnoteReference w:id="35"/>
      </w:r>
    </w:p>
    <w:p w:rsidR="006A31AE" w:rsidRDefault="006A31AE" w:rsidP="006A31AE">
      <w:pPr>
        <w:spacing w:after="0" w:line="240" w:lineRule="auto"/>
        <w:rPr>
          <w:rFonts w:ascii="Arial" w:eastAsia="Calibri" w:hAnsi="Arial" w:cs="Arial"/>
          <w:sz w:val="24"/>
          <w:szCs w:val="24"/>
        </w:rPr>
      </w:pPr>
    </w:p>
    <w:p w:rsidR="00C01780" w:rsidRPr="00C01780" w:rsidRDefault="00C01780" w:rsidP="006A31AE">
      <w:pPr>
        <w:spacing w:after="0" w:line="240" w:lineRule="auto"/>
        <w:rPr>
          <w:rFonts w:ascii="Arial" w:eastAsia="Calibri" w:hAnsi="Arial" w:cs="Arial"/>
          <w:sz w:val="24"/>
          <w:szCs w:val="24"/>
        </w:rPr>
      </w:pPr>
    </w:p>
    <w:p w:rsidR="00333D16" w:rsidRPr="00D20927" w:rsidRDefault="00237FC3" w:rsidP="006A31AE">
      <w:pPr>
        <w:spacing w:after="0" w:line="240" w:lineRule="auto"/>
        <w:rPr>
          <w:rFonts w:ascii="Arial" w:eastAsia="Calibri" w:hAnsi="Arial" w:cs="Arial"/>
          <w:sz w:val="24"/>
          <w:szCs w:val="24"/>
        </w:rPr>
      </w:pPr>
      <w:r w:rsidRPr="00C01780">
        <w:rPr>
          <w:rFonts w:ascii="Arial" w:eastAsia="Calibri" w:hAnsi="Arial" w:cs="Arial"/>
          <w:sz w:val="24"/>
          <w:szCs w:val="24"/>
        </w:rPr>
        <w:t>All hate crime types are reported on a rolling 12 month basis so the monthly figures reported are not separate month figures but a sum of the 12 months leading to any given month.</w:t>
      </w:r>
    </w:p>
    <w:p w:rsidR="00333D16" w:rsidRDefault="00333D16" w:rsidP="006A31AE">
      <w:pPr>
        <w:spacing w:after="0" w:line="240" w:lineRule="auto"/>
        <w:rPr>
          <w:rFonts w:ascii="Arial" w:eastAsia="Times New Roman" w:hAnsi="Arial" w:cs="Arial"/>
          <w:bCs/>
          <w:sz w:val="24"/>
          <w:szCs w:val="24"/>
          <w:lang w:eastAsia="en-GB"/>
        </w:rPr>
      </w:pPr>
    </w:p>
    <w:p w:rsidR="00ED07F6" w:rsidRPr="00333D16" w:rsidRDefault="006A31AE" w:rsidP="006A31AE">
      <w:pPr>
        <w:spacing w:after="0" w:line="240" w:lineRule="auto"/>
        <w:rPr>
          <w:rFonts w:ascii="Arial" w:eastAsia="Calibri" w:hAnsi="Arial" w:cs="Arial"/>
          <w:sz w:val="24"/>
          <w:szCs w:val="24"/>
        </w:rPr>
      </w:pPr>
      <w:r w:rsidRPr="00670E7E">
        <w:rPr>
          <w:rFonts w:ascii="Arial" w:eastAsia="Calibri" w:hAnsi="Arial" w:cs="Arial"/>
          <w:sz w:val="24"/>
          <w:szCs w:val="24"/>
        </w:rPr>
        <w:t>The under</w:t>
      </w:r>
      <w:r w:rsidR="00ED07F6">
        <w:rPr>
          <w:rFonts w:ascii="Arial" w:eastAsia="Calibri" w:hAnsi="Arial" w:cs="Arial"/>
          <w:sz w:val="24"/>
          <w:szCs w:val="24"/>
        </w:rPr>
        <w:t>-</w:t>
      </w:r>
      <w:r w:rsidRPr="00670E7E">
        <w:rPr>
          <w:rFonts w:ascii="Arial" w:eastAsia="Calibri" w:hAnsi="Arial" w:cs="Arial"/>
          <w:sz w:val="24"/>
          <w:szCs w:val="24"/>
        </w:rPr>
        <w:t xml:space="preserve">reporting of all types of hate crime remains a national issue. </w:t>
      </w:r>
      <w:r w:rsidR="00770B41" w:rsidRPr="00670E7E">
        <w:rPr>
          <w:rFonts w:ascii="Arial" w:eastAsia="Calibri" w:hAnsi="Arial" w:cs="Arial"/>
          <w:sz w:val="24"/>
          <w:szCs w:val="24"/>
        </w:rPr>
        <w:t>Figure 13 shows that i</w:t>
      </w:r>
      <w:r w:rsidRPr="00670E7E">
        <w:rPr>
          <w:rFonts w:ascii="Arial" w:eastAsia="Calibri" w:hAnsi="Arial" w:cs="Arial"/>
          <w:sz w:val="24"/>
          <w:szCs w:val="24"/>
        </w:rPr>
        <w:t xml:space="preserve">n Croydon there has been a </w:t>
      </w:r>
      <w:r w:rsidR="00D44929" w:rsidRPr="00670E7E">
        <w:rPr>
          <w:rFonts w:ascii="Arial" w:eastAsia="Calibri" w:hAnsi="Arial" w:cs="Arial"/>
          <w:sz w:val="24"/>
          <w:szCs w:val="24"/>
        </w:rPr>
        <w:t>de</w:t>
      </w:r>
      <w:r w:rsidRPr="00670E7E">
        <w:rPr>
          <w:rFonts w:ascii="Arial" w:eastAsia="Calibri" w:hAnsi="Arial" w:cs="Arial"/>
          <w:sz w:val="24"/>
          <w:szCs w:val="24"/>
        </w:rPr>
        <w:t xml:space="preserve">crease in the number of reported hate crimes in recent years. </w:t>
      </w:r>
      <w:r w:rsidR="001B4089">
        <w:rPr>
          <w:rFonts w:ascii="Arial" w:eastAsia="Times New Roman" w:hAnsi="Arial" w:cs="Arial"/>
          <w:bCs/>
          <w:sz w:val="24"/>
          <w:szCs w:val="24"/>
          <w:lang w:eastAsia="en-GB"/>
        </w:rPr>
        <w:t>In fact, every rolling 12 month period in 2018/2019 has shown an average reduction of over 16% in the number of hate crimes reported compared to the same periods in the previous year.</w:t>
      </w:r>
    </w:p>
    <w:p w:rsidR="001B4089" w:rsidRDefault="001B4089" w:rsidP="006A31AE">
      <w:pPr>
        <w:spacing w:after="0" w:line="240" w:lineRule="auto"/>
        <w:rPr>
          <w:rFonts w:ascii="Arial" w:eastAsia="Times New Roman" w:hAnsi="Arial" w:cs="Arial"/>
          <w:bCs/>
          <w:sz w:val="24"/>
          <w:szCs w:val="24"/>
          <w:lang w:eastAsia="en-GB"/>
        </w:rPr>
      </w:pPr>
    </w:p>
    <w:p w:rsidR="00D319D8" w:rsidRDefault="00D319D8" w:rsidP="006A31AE">
      <w:pPr>
        <w:spacing w:after="0" w:line="240" w:lineRule="auto"/>
        <w:rPr>
          <w:rFonts w:ascii="Arial" w:eastAsia="Times New Roman" w:hAnsi="Arial" w:cs="Arial"/>
          <w:bCs/>
          <w:sz w:val="24"/>
          <w:szCs w:val="24"/>
          <w:lang w:eastAsia="en-GB"/>
        </w:rPr>
      </w:pPr>
    </w:p>
    <w:p w:rsidR="00D319D8" w:rsidRDefault="00D319D8" w:rsidP="006A31AE">
      <w:pPr>
        <w:spacing w:after="0" w:line="240" w:lineRule="auto"/>
        <w:rPr>
          <w:rFonts w:ascii="Arial" w:eastAsia="Times New Roman" w:hAnsi="Arial" w:cs="Arial"/>
          <w:bCs/>
          <w:sz w:val="24"/>
          <w:szCs w:val="24"/>
          <w:lang w:eastAsia="en-GB"/>
        </w:rPr>
      </w:pPr>
    </w:p>
    <w:p w:rsidR="00333D16" w:rsidRDefault="00333D16" w:rsidP="006A31AE">
      <w:pPr>
        <w:spacing w:after="0" w:line="240" w:lineRule="auto"/>
        <w:rPr>
          <w:rFonts w:ascii="Arial" w:eastAsia="Times New Roman" w:hAnsi="Arial" w:cs="Arial"/>
          <w:bCs/>
          <w:sz w:val="24"/>
          <w:szCs w:val="24"/>
          <w:lang w:eastAsia="en-GB"/>
        </w:rPr>
      </w:pPr>
    </w:p>
    <w:p w:rsidR="004327FC" w:rsidRDefault="004327FC" w:rsidP="006A31AE">
      <w:pPr>
        <w:spacing w:after="0" w:line="240" w:lineRule="auto"/>
        <w:rPr>
          <w:rFonts w:ascii="Arial" w:eastAsia="Times New Roman" w:hAnsi="Arial" w:cs="Arial"/>
          <w:bCs/>
          <w:sz w:val="24"/>
          <w:szCs w:val="24"/>
          <w:lang w:eastAsia="en-GB"/>
        </w:rPr>
      </w:pPr>
    </w:p>
    <w:p w:rsidR="006A31AE" w:rsidRDefault="006A31AE" w:rsidP="006A31AE">
      <w:pPr>
        <w:spacing w:after="0" w:line="240" w:lineRule="auto"/>
        <w:rPr>
          <w:rFonts w:ascii="Arial" w:eastAsia="Times New Roman" w:hAnsi="Arial" w:cs="Arial"/>
          <w:bCs/>
          <w:sz w:val="24"/>
          <w:szCs w:val="24"/>
          <w:u w:val="single"/>
          <w:lang w:eastAsia="en-GB"/>
        </w:rPr>
      </w:pPr>
      <w:r w:rsidRPr="00670E7E">
        <w:rPr>
          <w:rFonts w:ascii="Arial" w:eastAsia="Times New Roman" w:hAnsi="Arial" w:cs="Arial"/>
          <w:bCs/>
          <w:sz w:val="24"/>
          <w:szCs w:val="24"/>
          <w:u w:val="single"/>
          <w:lang w:eastAsia="en-GB"/>
        </w:rPr>
        <w:t>Figure 1</w:t>
      </w:r>
      <w:r w:rsidR="00770B41" w:rsidRPr="00670E7E">
        <w:rPr>
          <w:rFonts w:ascii="Arial" w:eastAsia="Times New Roman" w:hAnsi="Arial" w:cs="Arial"/>
          <w:bCs/>
          <w:sz w:val="24"/>
          <w:szCs w:val="24"/>
          <w:u w:val="single"/>
          <w:lang w:eastAsia="en-GB"/>
        </w:rPr>
        <w:t>3</w:t>
      </w:r>
      <w:r w:rsidRPr="00670E7E">
        <w:rPr>
          <w:rFonts w:ascii="Arial" w:eastAsia="Times New Roman" w:hAnsi="Arial" w:cs="Arial"/>
          <w:bCs/>
          <w:sz w:val="24"/>
          <w:szCs w:val="24"/>
          <w:u w:val="single"/>
          <w:lang w:eastAsia="en-GB"/>
        </w:rPr>
        <w:t xml:space="preserve"> - Total recorded hate crime</w:t>
      </w:r>
      <w:r w:rsidR="00BC319F">
        <w:rPr>
          <w:rFonts w:ascii="Arial" w:eastAsia="Times New Roman" w:hAnsi="Arial" w:cs="Arial"/>
          <w:bCs/>
          <w:sz w:val="24"/>
          <w:szCs w:val="24"/>
          <w:u w:val="single"/>
          <w:lang w:eastAsia="en-GB"/>
        </w:rPr>
        <w:t>s</w:t>
      </w:r>
    </w:p>
    <w:p w:rsidR="008A67BE" w:rsidRDefault="008A67BE" w:rsidP="006A31AE">
      <w:pPr>
        <w:spacing w:after="0" w:line="240" w:lineRule="auto"/>
        <w:rPr>
          <w:rFonts w:ascii="Arial" w:eastAsia="Times New Roman" w:hAnsi="Arial" w:cs="Arial"/>
          <w:bCs/>
          <w:sz w:val="24"/>
          <w:szCs w:val="24"/>
          <w:u w:val="single"/>
          <w:lang w:eastAsia="en-GB"/>
        </w:rPr>
      </w:pPr>
    </w:p>
    <w:p w:rsidR="008A67BE" w:rsidRDefault="001B4089" w:rsidP="006A31AE">
      <w:pPr>
        <w:spacing w:after="0" w:line="240" w:lineRule="auto"/>
        <w:rPr>
          <w:rFonts w:ascii="Arial" w:eastAsia="Times New Roman" w:hAnsi="Arial" w:cs="Arial"/>
          <w:bCs/>
          <w:sz w:val="24"/>
          <w:szCs w:val="24"/>
          <w:u w:val="single"/>
          <w:lang w:eastAsia="en-GB"/>
        </w:rPr>
      </w:pPr>
      <w:r>
        <w:rPr>
          <w:noProof/>
          <w:lang w:eastAsia="en-GB"/>
        </w:rPr>
        <w:drawing>
          <wp:inline distT="0" distB="0" distL="0" distR="0" wp14:anchorId="44A4C82F" wp14:editId="4349B5A5">
            <wp:extent cx="4206875" cy="2463800"/>
            <wp:effectExtent l="0" t="0" r="3175" b="12700"/>
            <wp:docPr id="13942" name="Chart 1394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r>
        <w:rPr>
          <w:noProof/>
          <w:lang w:eastAsia="en-GB"/>
        </w:rPr>
        <w:t xml:space="preserve"> </w:t>
      </w:r>
      <w:r w:rsidR="00ED07F6">
        <w:rPr>
          <w:noProof/>
          <w:lang w:eastAsia="en-GB"/>
        </w:rPr>
        <w:t xml:space="preserve"> </w:t>
      </w:r>
    </w:p>
    <w:p w:rsidR="006A31AE" w:rsidRPr="00ED07F6" w:rsidRDefault="008A67BE" w:rsidP="006A31AE">
      <w:pPr>
        <w:spacing w:after="0" w:line="240" w:lineRule="auto"/>
        <w:rPr>
          <w:rFonts w:ascii="Arial" w:eastAsia="Times New Roman" w:hAnsi="Arial" w:cs="Arial"/>
          <w:bCs/>
          <w:sz w:val="20"/>
          <w:szCs w:val="20"/>
          <w:u w:val="single"/>
          <w:lang w:eastAsia="en-GB"/>
        </w:rPr>
      </w:pPr>
      <w:r w:rsidRPr="00ED07F6">
        <w:rPr>
          <w:rFonts w:ascii="Arial" w:eastAsia="Times New Roman" w:hAnsi="Arial" w:cs="Arial"/>
          <w:bCs/>
          <w:sz w:val="20"/>
          <w:szCs w:val="20"/>
          <w:lang w:eastAsia="en-GB"/>
        </w:rPr>
        <w:t>Sou</w:t>
      </w:r>
      <w:r w:rsidR="006A31AE" w:rsidRPr="00ED07F6">
        <w:rPr>
          <w:rFonts w:ascii="Arial" w:eastAsia="Times New Roman" w:hAnsi="Arial" w:cs="Arial"/>
          <w:bCs/>
          <w:sz w:val="20"/>
          <w:szCs w:val="20"/>
          <w:lang w:eastAsia="en-GB"/>
        </w:rPr>
        <w:t xml:space="preserve">rce: </w:t>
      </w:r>
      <w:r w:rsidR="00D44929" w:rsidRPr="00ED07F6">
        <w:rPr>
          <w:rFonts w:ascii="Arial" w:eastAsia="Times New Roman" w:hAnsi="Arial" w:cs="Arial"/>
          <w:bCs/>
          <w:sz w:val="20"/>
          <w:szCs w:val="20"/>
          <w:lang w:eastAsia="en-GB"/>
        </w:rPr>
        <w:t>MOPAC Hate Crime Dashboard</w:t>
      </w:r>
    </w:p>
    <w:p w:rsidR="006A31AE" w:rsidRPr="00670E7E" w:rsidRDefault="006A31AE" w:rsidP="006A31AE">
      <w:pPr>
        <w:spacing w:after="0" w:line="240" w:lineRule="auto"/>
        <w:rPr>
          <w:rFonts w:ascii="Arial" w:eastAsia="Times New Roman" w:hAnsi="Arial" w:cs="Arial"/>
          <w:bCs/>
          <w:sz w:val="24"/>
          <w:szCs w:val="24"/>
          <w:lang w:eastAsia="en-GB"/>
        </w:rPr>
      </w:pPr>
    </w:p>
    <w:p w:rsidR="00BC319F" w:rsidRDefault="00BC319F" w:rsidP="006A31AE">
      <w:pPr>
        <w:spacing w:after="0" w:line="240" w:lineRule="auto"/>
        <w:rPr>
          <w:rFonts w:ascii="Arial" w:eastAsia="Times New Roman" w:hAnsi="Arial" w:cs="Arial"/>
          <w:bCs/>
          <w:sz w:val="24"/>
          <w:szCs w:val="24"/>
          <w:lang w:eastAsia="en-GB"/>
        </w:rPr>
      </w:pPr>
    </w:p>
    <w:p w:rsidR="002F173F" w:rsidRDefault="002F173F" w:rsidP="006A31AE">
      <w:pPr>
        <w:spacing w:after="0" w:line="240" w:lineRule="auto"/>
        <w:rPr>
          <w:rFonts w:ascii="Arial" w:eastAsia="Times New Roman" w:hAnsi="Arial" w:cs="Arial"/>
          <w:bCs/>
          <w:sz w:val="24"/>
          <w:szCs w:val="24"/>
          <w:lang w:eastAsia="en-GB"/>
        </w:rPr>
      </w:pPr>
    </w:p>
    <w:p w:rsidR="006A31AE" w:rsidRPr="00670E7E" w:rsidRDefault="001B4089" w:rsidP="006A31AE">
      <w:pPr>
        <w:spacing w:after="0" w:line="240" w:lineRule="auto"/>
        <w:rPr>
          <w:rFonts w:ascii="Arial" w:eastAsia="Times New Roman" w:hAnsi="Arial" w:cs="Arial"/>
          <w:bCs/>
          <w:sz w:val="24"/>
          <w:szCs w:val="24"/>
          <w:lang w:eastAsia="en-GB"/>
        </w:rPr>
      </w:pPr>
      <w:r>
        <w:rPr>
          <w:rFonts w:ascii="Arial" w:eastAsia="Times New Roman" w:hAnsi="Arial" w:cs="Arial"/>
          <w:bCs/>
          <w:sz w:val="24"/>
          <w:szCs w:val="24"/>
          <w:lang w:eastAsia="en-GB"/>
        </w:rPr>
        <w:t>M</w:t>
      </w:r>
      <w:r w:rsidR="00D44929" w:rsidRPr="00670E7E">
        <w:rPr>
          <w:rFonts w:ascii="Arial" w:eastAsia="Times New Roman" w:hAnsi="Arial" w:cs="Arial"/>
          <w:bCs/>
          <w:sz w:val="24"/>
          <w:szCs w:val="24"/>
          <w:lang w:eastAsia="en-GB"/>
        </w:rPr>
        <w:t>ore recently, t</w:t>
      </w:r>
      <w:r w:rsidR="006A31AE" w:rsidRPr="00670E7E">
        <w:rPr>
          <w:rFonts w:ascii="Arial" w:eastAsia="Times New Roman" w:hAnsi="Arial" w:cs="Arial"/>
          <w:bCs/>
          <w:sz w:val="24"/>
          <w:szCs w:val="24"/>
          <w:lang w:eastAsia="en-GB"/>
        </w:rPr>
        <w:t xml:space="preserve">he majority of reported hate crimes </w:t>
      </w:r>
      <w:r w:rsidR="00770B41" w:rsidRPr="00670E7E">
        <w:rPr>
          <w:rFonts w:ascii="Arial" w:eastAsia="Times New Roman" w:hAnsi="Arial" w:cs="Arial"/>
          <w:bCs/>
          <w:sz w:val="24"/>
          <w:szCs w:val="24"/>
          <w:lang w:eastAsia="en-GB"/>
        </w:rPr>
        <w:t xml:space="preserve">in Croydon have been </w:t>
      </w:r>
      <w:r w:rsidR="006A31AE" w:rsidRPr="00670E7E">
        <w:rPr>
          <w:rFonts w:ascii="Arial" w:eastAsia="Times New Roman" w:hAnsi="Arial" w:cs="Arial"/>
          <w:bCs/>
          <w:sz w:val="24"/>
          <w:szCs w:val="24"/>
          <w:lang w:eastAsia="en-GB"/>
        </w:rPr>
        <w:t xml:space="preserve">racist and </w:t>
      </w:r>
      <w:r w:rsidR="00770B41" w:rsidRPr="00670E7E">
        <w:rPr>
          <w:rFonts w:ascii="Arial" w:eastAsia="Times New Roman" w:hAnsi="Arial" w:cs="Arial"/>
          <w:bCs/>
          <w:sz w:val="24"/>
          <w:szCs w:val="24"/>
          <w:lang w:eastAsia="en-GB"/>
        </w:rPr>
        <w:t xml:space="preserve">then </w:t>
      </w:r>
      <w:r w:rsidR="00D44929" w:rsidRPr="00670E7E">
        <w:rPr>
          <w:rFonts w:ascii="Arial" w:eastAsia="Times New Roman" w:hAnsi="Arial" w:cs="Arial"/>
          <w:bCs/>
          <w:sz w:val="24"/>
          <w:szCs w:val="24"/>
          <w:lang w:eastAsia="en-GB"/>
        </w:rPr>
        <w:t xml:space="preserve">disability </w:t>
      </w:r>
      <w:r w:rsidR="00770B41" w:rsidRPr="00670E7E">
        <w:rPr>
          <w:rFonts w:ascii="Arial" w:eastAsia="Times New Roman" w:hAnsi="Arial" w:cs="Arial"/>
          <w:bCs/>
          <w:sz w:val="24"/>
          <w:szCs w:val="24"/>
          <w:lang w:eastAsia="en-GB"/>
        </w:rPr>
        <w:t>hat</w:t>
      </w:r>
      <w:r w:rsidR="006A31AE" w:rsidRPr="00670E7E">
        <w:rPr>
          <w:rFonts w:ascii="Arial" w:eastAsia="Times New Roman" w:hAnsi="Arial" w:cs="Arial"/>
          <w:bCs/>
          <w:sz w:val="24"/>
          <w:szCs w:val="24"/>
          <w:lang w:eastAsia="en-GB"/>
        </w:rPr>
        <w:t xml:space="preserve">e crimes. </w:t>
      </w:r>
      <w:r w:rsidR="00770B41" w:rsidRPr="00670E7E">
        <w:rPr>
          <w:rFonts w:ascii="Arial" w:eastAsia="Times New Roman" w:hAnsi="Arial" w:cs="Arial"/>
          <w:bCs/>
          <w:sz w:val="24"/>
          <w:szCs w:val="24"/>
          <w:lang w:eastAsia="en-GB"/>
        </w:rPr>
        <w:t xml:space="preserve">Racist </w:t>
      </w:r>
      <w:r w:rsidR="006A31AE" w:rsidRPr="00670E7E">
        <w:rPr>
          <w:rFonts w:ascii="Arial" w:eastAsia="Times New Roman" w:hAnsi="Arial" w:cs="Arial"/>
          <w:bCs/>
          <w:sz w:val="24"/>
          <w:szCs w:val="24"/>
          <w:lang w:eastAsia="en-GB"/>
        </w:rPr>
        <w:t>hate crime ha</w:t>
      </w:r>
      <w:r w:rsidR="00770B41" w:rsidRPr="00670E7E">
        <w:rPr>
          <w:rFonts w:ascii="Arial" w:eastAsia="Times New Roman" w:hAnsi="Arial" w:cs="Arial"/>
          <w:bCs/>
          <w:sz w:val="24"/>
          <w:szCs w:val="24"/>
          <w:lang w:eastAsia="en-GB"/>
        </w:rPr>
        <w:t>s</w:t>
      </w:r>
      <w:r w:rsidR="006A31AE" w:rsidRPr="00670E7E">
        <w:rPr>
          <w:rFonts w:ascii="Arial" w:eastAsia="Times New Roman" w:hAnsi="Arial" w:cs="Arial"/>
          <w:bCs/>
          <w:sz w:val="24"/>
          <w:szCs w:val="24"/>
          <w:lang w:eastAsia="en-GB"/>
        </w:rPr>
        <w:t xml:space="preserve"> been recorded for longer than other</w:t>
      </w:r>
      <w:r w:rsidR="00770B41" w:rsidRPr="00670E7E">
        <w:rPr>
          <w:rFonts w:ascii="Arial" w:eastAsia="Times New Roman" w:hAnsi="Arial" w:cs="Arial"/>
          <w:bCs/>
          <w:sz w:val="24"/>
          <w:szCs w:val="24"/>
          <w:lang w:eastAsia="en-GB"/>
        </w:rPr>
        <w:t>s</w:t>
      </w:r>
      <w:r w:rsidR="006A31AE" w:rsidRPr="00670E7E">
        <w:rPr>
          <w:rFonts w:ascii="Arial" w:eastAsia="Times New Roman" w:hAnsi="Arial" w:cs="Arial"/>
          <w:bCs/>
          <w:sz w:val="24"/>
          <w:szCs w:val="24"/>
          <w:lang w:eastAsia="en-GB"/>
        </w:rPr>
        <w:t xml:space="preserve"> so there is likely to be a better reporting rate for racist </w:t>
      </w:r>
      <w:r w:rsidR="00770B41" w:rsidRPr="00670E7E">
        <w:rPr>
          <w:rFonts w:ascii="Arial" w:eastAsia="Times New Roman" w:hAnsi="Arial" w:cs="Arial"/>
          <w:bCs/>
          <w:sz w:val="24"/>
          <w:szCs w:val="24"/>
          <w:lang w:eastAsia="en-GB"/>
        </w:rPr>
        <w:t>crimes.</w:t>
      </w:r>
    </w:p>
    <w:p w:rsidR="006A31AE" w:rsidRDefault="006A31AE" w:rsidP="006A31AE">
      <w:pPr>
        <w:spacing w:after="0" w:line="240" w:lineRule="auto"/>
        <w:rPr>
          <w:rFonts w:ascii="Arial" w:eastAsia="Times New Roman" w:hAnsi="Arial" w:cs="Arial"/>
          <w:bCs/>
          <w:sz w:val="24"/>
          <w:szCs w:val="24"/>
          <w:lang w:eastAsia="en-GB"/>
        </w:rPr>
      </w:pPr>
    </w:p>
    <w:p w:rsidR="00D20927" w:rsidRDefault="00D20927" w:rsidP="006A31AE">
      <w:pPr>
        <w:spacing w:after="0" w:line="240" w:lineRule="auto"/>
        <w:rPr>
          <w:rFonts w:ascii="Arial" w:eastAsia="Times New Roman" w:hAnsi="Arial" w:cs="Arial"/>
          <w:bCs/>
          <w:sz w:val="24"/>
          <w:szCs w:val="24"/>
          <w:lang w:eastAsia="en-GB"/>
        </w:rPr>
      </w:pPr>
    </w:p>
    <w:p w:rsidR="00D20927" w:rsidRDefault="00D20927" w:rsidP="006A31AE">
      <w:pPr>
        <w:spacing w:after="0" w:line="240" w:lineRule="auto"/>
        <w:rPr>
          <w:rFonts w:ascii="Arial" w:eastAsia="Times New Roman" w:hAnsi="Arial" w:cs="Arial"/>
          <w:bCs/>
          <w:sz w:val="24"/>
          <w:szCs w:val="24"/>
          <w:lang w:eastAsia="en-GB"/>
        </w:rPr>
      </w:pPr>
    </w:p>
    <w:p w:rsidR="00D20927" w:rsidRDefault="00D20927" w:rsidP="006A31AE">
      <w:pPr>
        <w:spacing w:after="0" w:line="240" w:lineRule="auto"/>
        <w:rPr>
          <w:rFonts w:ascii="Arial" w:eastAsia="Times New Roman" w:hAnsi="Arial" w:cs="Arial"/>
          <w:bCs/>
          <w:sz w:val="24"/>
          <w:szCs w:val="24"/>
          <w:lang w:eastAsia="en-GB"/>
        </w:rPr>
      </w:pPr>
    </w:p>
    <w:p w:rsidR="00D20927" w:rsidRDefault="00D20927" w:rsidP="006A31AE">
      <w:pPr>
        <w:spacing w:after="0" w:line="240" w:lineRule="auto"/>
        <w:rPr>
          <w:rFonts w:ascii="Arial" w:eastAsia="Times New Roman" w:hAnsi="Arial" w:cs="Arial"/>
          <w:bCs/>
          <w:sz w:val="24"/>
          <w:szCs w:val="24"/>
          <w:lang w:eastAsia="en-GB"/>
        </w:rPr>
      </w:pPr>
    </w:p>
    <w:p w:rsidR="00D20927" w:rsidRDefault="00D20927" w:rsidP="006A31AE">
      <w:pPr>
        <w:spacing w:after="0" w:line="240" w:lineRule="auto"/>
        <w:rPr>
          <w:rFonts w:ascii="Arial" w:eastAsia="Times New Roman" w:hAnsi="Arial" w:cs="Arial"/>
          <w:bCs/>
          <w:sz w:val="24"/>
          <w:szCs w:val="24"/>
          <w:lang w:eastAsia="en-GB"/>
        </w:rPr>
      </w:pPr>
    </w:p>
    <w:p w:rsidR="00BC319F" w:rsidRDefault="001B4089" w:rsidP="006A31AE">
      <w:pPr>
        <w:spacing w:after="0" w:line="240" w:lineRule="auto"/>
        <w:rPr>
          <w:rFonts w:ascii="Arial" w:eastAsia="Times New Roman" w:hAnsi="Arial" w:cs="Arial"/>
          <w:bCs/>
          <w:sz w:val="24"/>
          <w:szCs w:val="24"/>
          <w:lang w:eastAsia="en-GB"/>
        </w:rPr>
      </w:pPr>
      <w:r>
        <w:rPr>
          <w:rFonts w:ascii="Arial" w:eastAsia="Times New Roman" w:hAnsi="Arial" w:cs="Arial"/>
          <w:bCs/>
          <w:sz w:val="24"/>
          <w:szCs w:val="24"/>
          <w:lang w:eastAsia="en-GB"/>
        </w:rPr>
        <w:t>Figure 14 shows that the number of race hate crimes have dropped to below the rates of the previous year.  This is encouraging but the actual number has still been over 500 in every rolling12 month period.</w:t>
      </w:r>
    </w:p>
    <w:p w:rsidR="001B4089" w:rsidRDefault="001B4089" w:rsidP="006A31AE">
      <w:pPr>
        <w:spacing w:after="0" w:line="240" w:lineRule="auto"/>
        <w:rPr>
          <w:rFonts w:ascii="Arial" w:eastAsia="Times New Roman" w:hAnsi="Arial" w:cs="Arial"/>
          <w:bCs/>
          <w:sz w:val="24"/>
          <w:szCs w:val="24"/>
          <w:lang w:eastAsia="en-GB"/>
        </w:rPr>
      </w:pPr>
    </w:p>
    <w:p w:rsidR="001B4089" w:rsidRDefault="001B4089" w:rsidP="006A31AE">
      <w:pPr>
        <w:spacing w:after="0" w:line="240" w:lineRule="auto"/>
        <w:rPr>
          <w:rFonts w:ascii="Arial" w:eastAsia="Times New Roman" w:hAnsi="Arial" w:cs="Arial"/>
          <w:bCs/>
          <w:sz w:val="24"/>
          <w:szCs w:val="24"/>
          <w:lang w:eastAsia="en-GB"/>
        </w:rPr>
      </w:pPr>
    </w:p>
    <w:p w:rsidR="00BC319F" w:rsidRPr="00BC319F" w:rsidRDefault="00BC319F" w:rsidP="006A31AE">
      <w:pPr>
        <w:spacing w:after="0" w:line="240" w:lineRule="auto"/>
        <w:rPr>
          <w:rFonts w:ascii="Arial" w:eastAsia="Times New Roman" w:hAnsi="Arial" w:cs="Arial"/>
          <w:bCs/>
          <w:sz w:val="24"/>
          <w:szCs w:val="24"/>
          <w:u w:val="single"/>
          <w:lang w:eastAsia="en-GB"/>
        </w:rPr>
      </w:pPr>
      <w:r w:rsidRPr="00BC319F">
        <w:rPr>
          <w:rFonts w:ascii="Arial" w:eastAsia="Times New Roman" w:hAnsi="Arial" w:cs="Arial"/>
          <w:bCs/>
          <w:sz w:val="24"/>
          <w:szCs w:val="24"/>
          <w:u w:val="single"/>
          <w:lang w:eastAsia="en-GB"/>
        </w:rPr>
        <w:t>Figure 14 – Total Racist hate crime</w:t>
      </w:r>
    </w:p>
    <w:p w:rsidR="006A31AE" w:rsidRPr="00670E7E" w:rsidRDefault="006A31AE" w:rsidP="006A31AE">
      <w:pPr>
        <w:spacing w:after="0" w:line="240" w:lineRule="auto"/>
        <w:rPr>
          <w:rFonts w:ascii="Arial" w:eastAsia="Times New Roman" w:hAnsi="Arial" w:cs="Arial"/>
          <w:bCs/>
          <w:sz w:val="24"/>
          <w:szCs w:val="24"/>
          <w:lang w:eastAsia="en-GB"/>
        </w:rPr>
      </w:pPr>
    </w:p>
    <w:p w:rsidR="006A31AE" w:rsidRDefault="008A67BE" w:rsidP="006A31AE">
      <w:pPr>
        <w:spacing w:after="0" w:line="240" w:lineRule="auto"/>
        <w:rPr>
          <w:noProof/>
          <w:lang w:eastAsia="en-GB"/>
        </w:rPr>
      </w:pPr>
      <w:r>
        <w:rPr>
          <w:noProof/>
          <w:lang w:eastAsia="en-GB"/>
        </w:rPr>
        <w:drawing>
          <wp:inline distT="0" distB="0" distL="0" distR="0" wp14:anchorId="3B0DFE62" wp14:editId="5B5FDDC4">
            <wp:extent cx="4206875" cy="2463800"/>
            <wp:effectExtent l="0" t="0" r="3175" b="12700"/>
            <wp:docPr id="13930" name="Chart 139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BC319F" w:rsidRPr="002235F2" w:rsidRDefault="00BC319F" w:rsidP="00061F50">
      <w:pPr>
        <w:spacing w:before="120" w:after="0" w:line="240" w:lineRule="auto"/>
        <w:rPr>
          <w:rFonts w:ascii="Arial" w:eastAsia="Times New Roman" w:hAnsi="Arial" w:cs="Arial"/>
          <w:bCs/>
          <w:sz w:val="20"/>
          <w:szCs w:val="20"/>
          <w:lang w:eastAsia="en-GB"/>
        </w:rPr>
      </w:pPr>
      <w:r w:rsidRPr="002235F2">
        <w:rPr>
          <w:rFonts w:ascii="Arial" w:eastAsia="Times New Roman" w:hAnsi="Arial" w:cs="Arial"/>
          <w:bCs/>
          <w:sz w:val="20"/>
          <w:szCs w:val="20"/>
          <w:lang w:eastAsia="en-GB"/>
        </w:rPr>
        <w:t>Source: MOPAC Hate Crime Dashboard</w:t>
      </w:r>
    </w:p>
    <w:p w:rsidR="00BC319F" w:rsidRDefault="00BC319F" w:rsidP="006A31AE">
      <w:pPr>
        <w:spacing w:after="0" w:line="240" w:lineRule="auto"/>
        <w:rPr>
          <w:rFonts w:ascii="Arial" w:eastAsia="Times New Roman" w:hAnsi="Arial" w:cs="Arial"/>
          <w:bCs/>
          <w:sz w:val="24"/>
          <w:szCs w:val="24"/>
          <w:lang w:eastAsia="en-GB"/>
        </w:rPr>
      </w:pPr>
    </w:p>
    <w:p w:rsidR="00BC319F" w:rsidRDefault="00BC319F" w:rsidP="006A31AE">
      <w:pPr>
        <w:spacing w:after="0" w:line="240" w:lineRule="auto"/>
        <w:rPr>
          <w:rFonts w:ascii="Arial" w:eastAsia="Times New Roman" w:hAnsi="Arial" w:cs="Arial"/>
          <w:bCs/>
          <w:sz w:val="24"/>
          <w:szCs w:val="24"/>
          <w:lang w:eastAsia="en-GB"/>
        </w:rPr>
      </w:pPr>
    </w:p>
    <w:p w:rsidR="00BC319F" w:rsidRDefault="00BC319F" w:rsidP="00BC319F">
      <w:pPr>
        <w:spacing w:after="0" w:line="240" w:lineRule="auto"/>
        <w:rPr>
          <w:rFonts w:ascii="Arial" w:eastAsia="Times New Roman" w:hAnsi="Arial" w:cs="Arial"/>
          <w:bCs/>
          <w:sz w:val="24"/>
          <w:szCs w:val="24"/>
          <w:lang w:eastAsia="en-GB"/>
        </w:rPr>
      </w:pPr>
    </w:p>
    <w:p w:rsidR="00BC319F" w:rsidRDefault="00BC319F" w:rsidP="00BC319F">
      <w:pPr>
        <w:spacing w:after="0" w:line="240" w:lineRule="auto"/>
        <w:rPr>
          <w:rFonts w:ascii="Arial" w:eastAsia="Times New Roman" w:hAnsi="Arial" w:cs="Arial"/>
          <w:bCs/>
          <w:sz w:val="24"/>
          <w:szCs w:val="24"/>
          <w:lang w:eastAsia="en-GB"/>
        </w:rPr>
      </w:pPr>
    </w:p>
    <w:p w:rsidR="002F173F" w:rsidRDefault="002F173F" w:rsidP="00BC319F">
      <w:pPr>
        <w:spacing w:after="0" w:line="240" w:lineRule="auto"/>
        <w:rPr>
          <w:rFonts w:ascii="Arial" w:eastAsia="Times New Roman" w:hAnsi="Arial" w:cs="Arial"/>
          <w:bCs/>
          <w:sz w:val="24"/>
          <w:szCs w:val="24"/>
          <w:lang w:eastAsia="en-GB"/>
        </w:rPr>
      </w:pPr>
    </w:p>
    <w:p w:rsidR="00237FC3" w:rsidRPr="00670E7E" w:rsidRDefault="00237FC3" w:rsidP="00BC319F">
      <w:pPr>
        <w:spacing w:after="0" w:line="240" w:lineRule="auto"/>
        <w:rPr>
          <w:rFonts w:ascii="Arial" w:eastAsia="Times New Roman" w:hAnsi="Arial" w:cs="Arial"/>
          <w:bCs/>
          <w:sz w:val="24"/>
          <w:szCs w:val="24"/>
          <w:lang w:eastAsia="en-GB"/>
        </w:rPr>
      </w:pPr>
    </w:p>
    <w:p w:rsidR="00D20927" w:rsidRDefault="00D20927" w:rsidP="00BC319F">
      <w:pPr>
        <w:spacing w:after="0" w:line="240" w:lineRule="auto"/>
        <w:rPr>
          <w:rFonts w:ascii="Arial" w:eastAsia="Times New Roman" w:hAnsi="Arial" w:cs="Arial"/>
          <w:bCs/>
          <w:sz w:val="24"/>
          <w:szCs w:val="24"/>
          <w:lang w:eastAsia="en-GB"/>
        </w:rPr>
      </w:pPr>
    </w:p>
    <w:p w:rsidR="00D20927" w:rsidRDefault="00D20927" w:rsidP="00BC319F">
      <w:pPr>
        <w:spacing w:after="0" w:line="240" w:lineRule="auto"/>
        <w:rPr>
          <w:rFonts w:ascii="Arial" w:eastAsia="Times New Roman" w:hAnsi="Arial" w:cs="Arial"/>
          <w:bCs/>
          <w:sz w:val="24"/>
          <w:szCs w:val="24"/>
          <w:lang w:eastAsia="en-GB"/>
        </w:rPr>
      </w:pPr>
    </w:p>
    <w:p w:rsidR="00D20927" w:rsidRDefault="00D20927" w:rsidP="00BC319F">
      <w:pPr>
        <w:spacing w:after="0" w:line="240" w:lineRule="auto"/>
        <w:rPr>
          <w:rFonts w:ascii="Arial" w:eastAsia="Times New Roman" w:hAnsi="Arial" w:cs="Arial"/>
          <w:bCs/>
          <w:sz w:val="24"/>
          <w:szCs w:val="24"/>
          <w:lang w:eastAsia="en-GB"/>
        </w:rPr>
      </w:pPr>
    </w:p>
    <w:p w:rsidR="00BC319F" w:rsidRPr="00670E7E" w:rsidRDefault="00BC319F" w:rsidP="00BC319F">
      <w:pPr>
        <w:spacing w:after="0" w:line="240" w:lineRule="auto"/>
        <w:rPr>
          <w:rFonts w:ascii="Arial" w:eastAsia="Times New Roman" w:hAnsi="Arial" w:cs="Arial"/>
          <w:bCs/>
          <w:sz w:val="24"/>
          <w:szCs w:val="24"/>
          <w:lang w:eastAsia="en-GB"/>
        </w:rPr>
      </w:pPr>
      <w:r w:rsidRPr="00670E7E">
        <w:rPr>
          <w:rFonts w:ascii="Arial" w:eastAsia="Times New Roman" w:hAnsi="Arial" w:cs="Arial"/>
          <w:bCs/>
          <w:sz w:val="24"/>
          <w:szCs w:val="24"/>
          <w:lang w:eastAsia="en-GB"/>
        </w:rPr>
        <w:lastRenderedPageBreak/>
        <w:t>Figures for disability hate crime in Croydon shows that the number had been dropping throughout 2017</w:t>
      </w:r>
      <w:r w:rsidR="001B4089">
        <w:rPr>
          <w:rFonts w:ascii="Arial" w:eastAsia="Times New Roman" w:hAnsi="Arial" w:cs="Arial"/>
          <w:bCs/>
          <w:sz w:val="24"/>
          <w:szCs w:val="24"/>
          <w:lang w:eastAsia="en-GB"/>
        </w:rPr>
        <w:t>/</w:t>
      </w:r>
      <w:r w:rsidRPr="00670E7E">
        <w:rPr>
          <w:rFonts w:ascii="Arial" w:eastAsia="Times New Roman" w:hAnsi="Arial" w:cs="Arial"/>
          <w:bCs/>
          <w:sz w:val="24"/>
          <w:szCs w:val="24"/>
          <w:lang w:eastAsia="en-GB"/>
        </w:rPr>
        <w:t>2018 and is now stabilising at around the low 400 mark</w:t>
      </w:r>
      <w:r w:rsidR="001B4089">
        <w:rPr>
          <w:rFonts w:ascii="Arial" w:eastAsia="Times New Roman" w:hAnsi="Arial" w:cs="Arial"/>
          <w:bCs/>
          <w:sz w:val="24"/>
          <w:szCs w:val="24"/>
          <w:lang w:eastAsia="en-GB"/>
        </w:rPr>
        <w:t xml:space="preserve">.  The current year’s performance so far is showing a </w:t>
      </w:r>
      <w:r w:rsidR="00237FC3">
        <w:rPr>
          <w:rFonts w:ascii="Arial" w:eastAsia="Times New Roman" w:hAnsi="Arial" w:cs="Arial"/>
          <w:bCs/>
          <w:sz w:val="24"/>
          <w:szCs w:val="24"/>
          <w:lang w:eastAsia="en-GB"/>
        </w:rPr>
        <w:t xml:space="preserve">consistent monthly </w:t>
      </w:r>
      <w:r w:rsidR="001B4089">
        <w:rPr>
          <w:rFonts w:ascii="Arial" w:eastAsia="Times New Roman" w:hAnsi="Arial" w:cs="Arial"/>
          <w:bCs/>
          <w:sz w:val="24"/>
          <w:szCs w:val="24"/>
          <w:lang w:eastAsia="en-GB"/>
        </w:rPr>
        <w:t>decline in the numbers reported on the previous year.</w:t>
      </w:r>
    </w:p>
    <w:p w:rsidR="00BC319F" w:rsidRPr="00670E7E" w:rsidRDefault="00BC319F" w:rsidP="00BC319F">
      <w:pPr>
        <w:spacing w:after="0" w:line="240" w:lineRule="auto"/>
        <w:rPr>
          <w:rFonts w:ascii="Arial" w:eastAsia="Times New Roman" w:hAnsi="Arial" w:cs="Arial"/>
          <w:bCs/>
          <w:sz w:val="24"/>
          <w:szCs w:val="24"/>
          <w:lang w:eastAsia="en-GB"/>
        </w:rPr>
      </w:pPr>
    </w:p>
    <w:p w:rsidR="00BC319F" w:rsidRDefault="00BC319F" w:rsidP="00BC319F">
      <w:pPr>
        <w:spacing w:after="0" w:line="240" w:lineRule="auto"/>
        <w:rPr>
          <w:rFonts w:ascii="Arial" w:eastAsia="Times New Roman" w:hAnsi="Arial" w:cs="Arial"/>
          <w:bCs/>
          <w:sz w:val="24"/>
          <w:szCs w:val="24"/>
          <w:u w:val="single"/>
          <w:lang w:eastAsia="en-GB"/>
        </w:rPr>
      </w:pPr>
    </w:p>
    <w:p w:rsidR="00BC319F" w:rsidRPr="00670E7E" w:rsidRDefault="00BC319F" w:rsidP="00BC319F">
      <w:pPr>
        <w:spacing w:after="0" w:line="240" w:lineRule="auto"/>
        <w:rPr>
          <w:rFonts w:ascii="Arial" w:eastAsia="Times New Roman" w:hAnsi="Arial" w:cs="Arial"/>
          <w:bCs/>
          <w:sz w:val="24"/>
          <w:szCs w:val="24"/>
          <w:u w:val="single"/>
          <w:lang w:eastAsia="en-GB"/>
        </w:rPr>
      </w:pPr>
      <w:r w:rsidRPr="00670E7E">
        <w:rPr>
          <w:rFonts w:ascii="Arial" w:eastAsia="Times New Roman" w:hAnsi="Arial" w:cs="Arial"/>
          <w:bCs/>
          <w:sz w:val="24"/>
          <w:szCs w:val="24"/>
          <w:u w:val="single"/>
          <w:lang w:eastAsia="en-GB"/>
        </w:rPr>
        <w:t>Figure 1</w:t>
      </w:r>
      <w:r w:rsidR="008A67BE">
        <w:rPr>
          <w:rFonts w:ascii="Arial" w:eastAsia="Times New Roman" w:hAnsi="Arial" w:cs="Arial"/>
          <w:bCs/>
          <w:sz w:val="24"/>
          <w:szCs w:val="24"/>
          <w:u w:val="single"/>
          <w:lang w:eastAsia="en-GB"/>
        </w:rPr>
        <w:t>5</w:t>
      </w:r>
      <w:r w:rsidRPr="00670E7E">
        <w:rPr>
          <w:rFonts w:ascii="Arial" w:eastAsia="Times New Roman" w:hAnsi="Arial" w:cs="Arial"/>
          <w:bCs/>
          <w:sz w:val="24"/>
          <w:szCs w:val="24"/>
          <w:u w:val="single"/>
          <w:lang w:eastAsia="en-GB"/>
        </w:rPr>
        <w:t xml:space="preserve"> – Disability hate crime</w:t>
      </w:r>
    </w:p>
    <w:p w:rsidR="00BC319F" w:rsidRPr="00670E7E" w:rsidRDefault="00BC319F" w:rsidP="00BC319F">
      <w:pPr>
        <w:spacing w:after="0" w:line="240" w:lineRule="auto"/>
        <w:rPr>
          <w:rFonts w:ascii="Arial" w:eastAsia="Times New Roman" w:hAnsi="Arial" w:cs="Arial"/>
          <w:bCs/>
          <w:sz w:val="24"/>
          <w:szCs w:val="24"/>
          <w:lang w:eastAsia="en-GB"/>
        </w:rPr>
      </w:pPr>
    </w:p>
    <w:p w:rsidR="00BC319F" w:rsidRPr="00670E7E" w:rsidRDefault="008A67BE" w:rsidP="00BC319F">
      <w:pPr>
        <w:spacing w:after="0" w:line="240" w:lineRule="auto"/>
        <w:rPr>
          <w:rFonts w:ascii="Arial" w:eastAsia="Times New Roman" w:hAnsi="Arial" w:cs="Arial"/>
          <w:bCs/>
          <w:sz w:val="24"/>
          <w:szCs w:val="24"/>
          <w:lang w:eastAsia="en-GB"/>
        </w:rPr>
      </w:pPr>
      <w:r>
        <w:rPr>
          <w:noProof/>
          <w:lang w:eastAsia="en-GB"/>
        </w:rPr>
        <w:drawing>
          <wp:inline distT="0" distB="0" distL="0" distR="0" wp14:anchorId="033CBB8D" wp14:editId="0D1A1F3F">
            <wp:extent cx="4161608" cy="2329543"/>
            <wp:effectExtent l="0" t="0" r="10795" b="13970"/>
            <wp:docPr id="13932" name="Chart 139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p>
    <w:p w:rsidR="00BC319F" w:rsidRPr="002235F2" w:rsidRDefault="00BC319F" w:rsidP="00061F50">
      <w:pPr>
        <w:spacing w:before="120" w:after="0" w:line="240" w:lineRule="auto"/>
        <w:rPr>
          <w:rFonts w:ascii="Arial" w:eastAsia="Times New Roman" w:hAnsi="Arial" w:cs="Arial"/>
          <w:bCs/>
          <w:sz w:val="20"/>
          <w:szCs w:val="20"/>
          <w:lang w:eastAsia="en-GB"/>
        </w:rPr>
      </w:pPr>
      <w:r w:rsidRPr="002235F2">
        <w:rPr>
          <w:rFonts w:ascii="Arial" w:eastAsia="Times New Roman" w:hAnsi="Arial" w:cs="Arial"/>
          <w:bCs/>
          <w:sz w:val="20"/>
          <w:szCs w:val="20"/>
          <w:lang w:eastAsia="en-GB"/>
        </w:rPr>
        <w:t>Source : MOPAC Hate Crime Dashboard</w:t>
      </w:r>
    </w:p>
    <w:p w:rsidR="00BC319F" w:rsidRPr="00670E7E" w:rsidRDefault="00BC319F" w:rsidP="00061F50">
      <w:pPr>
        <w:spacing w:before="120" w:after="0" w:line="240" w:lineRule="auto"/>
        <w:rPr>
          <w:rFonts w:ascii="Arial" w:eastAsia="Times New Roman" w:hAnsi="Arial" w:cs="Arial"/>
          <w:bCs/>
          <w:sz w:val="24"/>
          <w:szCs w:val="24"/>
          <w:lang w:eastAsia="en-GB"/>
        </w:rPr>
      </w:pPr>
    </w:p>
    <w:p w:rsidR="00BC319F" w:rsidRDefault="00BC319F" w:rsidP="006A31AE">
      <w:pPr>
        <w:spacing w:after="0" w:line="240" w:lineRule="auto"/>
        <w:rPr>
          <w:rFonts w:ascii="Arial" w:eastAsia="Times New Roman" w:hAnsi="Arial" w:cs="Arial"/>
          <w:bCs/>
          <w:sz w:val="24"/>
          <w:szCs w:val="24"/>
          <w:lang w:eastAsia="en-GB"/>
        </w:rPr>
      </w:pPr>
    </w:p>
    <w:p w:rsidR="00237FC3" w:rsidRDefault="00237FC3" w:rsidP="006A31AE">
      <w:pPr>
        <w:spacing w:after="0" w:line="240" w:lineRule="auto"/>
        <w:rPr>
          <w:rFonts w:ascii="Arial" w:eastAsia="Times New Roman" w:hAnsi="Arial" w:cs="Arial"/>
          <w:bCs/>
          <w:sz w:val="24"/>
          <w:szCs w:val="24"/>
          <w:lang w:eastAsia="en-GB"/>
        </w:rPr>
      </w:pPr>
    </w:p>
    <w:p w:rsidR="00237FC3" w:rsidRDefault="00237FC3" w:rsidP="006A31AE">
      <w:pPr>
        <w:spacing w:after="0" w:line="240" w:lineRule="auto"/>
        <w:rPr>
          <w:rFonts w:ascii="Arial" w:eastAsia="Times New Roman" w:hAnsi="Arial" w:cs="Arial"/>
          <w:bCs/>
          <w:sz w:val="24"/>
          <w:szCs w:val="24"/>
          <w:lang w:eastAsia="en-GB"/>
        </w:rPr>
      </w:pPr>
    </w:p>
    <w:p w:rsidR="002235F2" w:rsidRDefault="002235F2" w:rsidP="006A31AE">
      <w:pPr>
        <w:spacing w:after="0" w:line="240" w:lineRule="auto"/>
        <w:rPr>
          <w:rFonts w:ascii="Arial" w:eastAsia="Times New Roman" w:hAnsi="Arial" w:cs="Arial"/>
          <w:bCs/>
          <w:sz w:val="24"/>
          <w:szCs w:val="24"/>
          <w:lang w:eastAsia="en-GB"/>
        </w:rPr>
      </w:pPr>
    </w:p>
    <w:p w:rsidR="00BC319F" w:rsidRDefault="00BC319F" w:rsidP="006A31AE">
      <w:pPr>
        <w:spacing w:after="0" w:line="240" w:lineRule="auto"/>
        <w:rPr>
          <w:rFonts w:ascii="Arial" w:eastAsia="Times New Roman" w:hAnsi="Arial" w:cs="Arial"/>
          <w:bCs/>
          <w:sz w:val="24"/>
          <w:szCs w:val="24"/>
          <w:lang w:eastAsia="en-GB"/>
        </w:rPr>
      </w:pPr>
    </w:p>
    <w:p w:rsidR="00333D16" w:rsidRDefault="00333D16" w:rsidP="006A31AE">
      <w:pPr>
        <w:spacing w:after="0" w:line="240" w:lineRule="auto"/>
        <w:rPr>
          <w:rFonts w:ascii="Arial" w:eastAsia="Times New Roman" w:hAnsi="Arial" w:cs="Arial"/>
          <w:bCs/>
          <w:sz w:val="24"/>
          <w:szCs w:val="24"/>
          <w:lang w:eastAsia="en-GB"/>
        </w:rPr>
      </w:pPr>
    </w:p>
    <w:p w:rsidR="006A31AE" w:rsidRPr="00670E7E" w:rsidRDefault="00237FC3" w:rsidP="006A31AE">
      <w:pPr>
        <w:spacing w:after="0" w:line="240" w:lineRule="auto"/>
        <w:rPr>
          <w:rFonts w:ascii="Arial" w:eastAsia="Times New Roman" w:hAnsi="Arial" w:cs="Arial"/>
          <w:bCs/>
          <w:sz w:val="24"/>
          <w:szCs w:val="24"/>
          <w:lang w:eastAsia="en-GB"/>
        </w:rPr>
      </w:pPr>
      <w:r>
        <w:rPr>
          <w:rFonts w:ascii="Arial" w:eastAsia="Times New Roman" w:hAnsi="Arial" w:cs="Arial"/>
          <w:bCs/>
          <w:sz w:val="24"/>
          <w:szCs w:val="24"/>
          <w:lang w:eastAsia="en-GB"/>
        </w:rPr>
        <w:t xml:space="preserve">The number of faith hate crimes has been falling in Croydon over the past 18 months as </w:t>
      </w:r>
      <w:r w:rsidR="006A31AE" w:rsidRPr="00670E7E">
        <w:rPr>
          <w:rFonts w:ascii="Arial" w:eastAsia="Times New Roman" w:hAnsi="Arial" w:cs="Arial"/>
          <w:bCs/>
          <w:sz w:val="24"/>
          <w:szCs w:val="24"/>
          <w:lang w:eastAsia="en-GB"/>
        </w:rPr>
        <w:t>Figure 1</w:t>
      </w:r>
      <w:r w:rsidR="008A67BE">
        <w:rPr>
          <w:rFonts w:ascii="Arial" w:eastAsia="Times New Roman" w:hAnsi="Arial" w:cs="Arial"/>
          <w:bCs/>
          <w:sz w:val="24"/>
          <w:szCs w:val="24"/>
          <w:lang w:eastAsia="en-GB"/>
        </w:rPr>
        <w:t>6</w:t>
      </w:r>
      <w:r w:rsidR="006A31AE" w:rsidRPr="00670E7E">
        <w:rPr>
          <w:rFonts w:ascii="Arial" w:eastAsia="Times New Roman" w:hAnsi="Arial" w:cs="Arial"/>
          <w:bCs/>
          <w:sz w:val="24"/>
          <w:szCs w:val="24"/>
          <w:lang w:eastAsia="en-GB"/>
        </w:rPr>
        <w:t xml:space="preserve"> shows</w:t>
      </w:r>
      <w:r>
        <w:rPr>
          <w:rFonts w:ascii="Arial" w:eastAsia="Times New Roman" w:hAnsi="Arial" w:cs="Arial"/>
          <w:bCs/>
          <w:sz w:val="24"/>
          <w:szCs w:val="24"/>
          <w:lang w:eastAsia="en-GB"/>
        </w:rPr>
        <w:t xml:space="preserve">.  The average number of hate crimes, </w:t>
      </w:r>
      <w:r w:rsidR="00333D16">
        <w:rPr>
          <w:rFonts w:ascii="Arial" w:eastAsia="Times New Roman" w:hAnsi="Arial" w:cs="Arial"/>
          <w:bCs/>
          <w:sz w:val="24"/>
          <w:szCs w:val="24"/>
          <w:lang w:eastAsia="en-GB"/>
        </w:rPr>
        <w:t>for the 12 months rolling to any given month in 2017/2018 was 65. The average for the first 7 months of this financial year to October 2018 is 59.</w:t>
      </w:r>
    </w:p>
    <w:p w:rsidR="00237FC3" w:rsidRDefault="00237FC3" w:rsidP="006A31AE">
      <w:pPr>
        <w:spacing w:after="0" w:line="240" w:lineRule="auto"/>
        <w:rPr>
          <w:rFonts w:ascii="Arial" w:eastAsia="Times New Roman" w:hAnsi="Arial" w:cs="Arial"/>
          <w:bCs/>
          <w:sz w:val="24"/>
          <w:szCs w:val="24"/>
          <w:lang w:eastAsia="en-GB"/>
        </w:rPr>
      </w:pPr>
    </w:p>
    <w:p w:rsidR="00237FC3" w:rsidRPr="00670E7E" w:rsidRDefault="00237FC3" w:rsidP="006A31AE">
      <w:pPr>
        <w:spacing w:after="0" w:line="240" w:lineRule="auto"/>
        <w:rPr>
          <w:rFonts w:ascii="Arial" w:eastAsia="Times New Roman" w:hAnsi="Arial" w:cs="Arial"/>
          <w:bCs/>
          <w:sz w:val="24"/>
          <w:szCs w:val="24"/>
          <w:lang w:eastAsia="en-GB"/>
        </w:rPr>
      </w:pPr>
    </w:p>
    <w:p w:rsidR="006A31AE" w:rsidRPr="00FC32DA" w:rsidRDefault="006A31AE" w:rsidP="006A31AE">
      <w:pPr>
        <w:spacing w:after="0" w:line="240" w:lineRule="auto"/>
        <w:rPr>
          <w:rFonts w:ascii="Arial" w:eastAsia="Times New Roman" w:hAnsi="Arial" w:cs="Arial"/>
          <w:bCs/>
          <w:sz w:val="24"/>
          <w:szCs w:val="24"/>
          <w:u w:val="single"/>
          <w:lang w:eastAsia="en-GB"/>
        </w:rPr>
      </w:pPr>
      <w:r w:rsidRPr="007B5AAA">
        <w:rPr>
          <w:rFonts w:ascii="Arial" w:eastAsia="Times New Roman" w:hAnsi="Arial" w:cs="Arial"/>
          <w:bCs/>
          <w:sz w:val="24"/>
          <w:szCs w:val="24"/>
          <w:u w:val="single"/>
          <w:lang w:eastAsia="en-GB"/>
        </w:rPr>
        <w:t xml:space="preserve">Figure </w:t>
      </w:r>
      <w:r w:rsidRPr="00FC32DA">
        <w:rPr>
          <w:rFonts w:ascii="Arial" w:eastAsia="Times New Roman" w:hAnsi="Arial" w:cs="Arial"/>
          <w:bCs/>
          <w:sz w:val="24"/>
          <w:szCs w:val="24"/>
          <w:u w:val="single"/>
          <w:lang w:eastAsia="en-GB"/>
        </w:rPr>
        <w:t>1</w:t>
      </w:r>
      <w:r w:rsidR="008A67BE">
        <w:rPr>
          <w:rFonts w:ascii="Arial" w:eastAsia="Times New Roman" w:hAnsi="Arial" w:cs="Arial"/>
          <w:bCs/>
          <w:sz w:val="24"/>
          <w:szCs w:val="24"/>
          <w:u w:val="single"/>
          <w:lang w:eastAsia="en-GB"/>
        </w:rPr>
        <w:t>6</w:t>
      </w:r>
      <w:r w:rsidRPr="00FC32DA">
        <w:rPr>
          <w:rFonts w:ascii="Arial" w:eastAsia="Times New Roman" w:hAnsi="Arial" w:cs="Arial"/>
          <w:bCs/>
          <w:sz w:val="24"/>
          <w:szCs w:val="24"/>
          <w:u w:val="single"/>
          <w:lang w:eastAsia="en-GB"/>
        </w:rPr>
        <w:t xml:space="preserve"> – Faith hate crime</w:t>
      </w:r>
    </w:p>
    <w:p w:rsidR="007B5AAA" w:rsidRPr="00FC32DA" w:rsidRDefault="007B5AAA" w:rsidP="006A31AE">
      <w:pPr>
        <w:spacing w:after="0" w:line="240" w:lineRule="auto"/>
        <w:rPr>
          <w:rFonts w:ascii="Arial" w:eastAsia="Times New Roman" w:hAnsi="Arial" w:cs="Arial"/>
          <w:bCs/>
          <w:sz w:val="24"/>
          <w:szCs w:val="24"/>
          <w:u w:val="single"/>
          <w:lang w:eastAsia="en-GB"/>
        </w:rPr>
      </w:pPr>
    </w:p>
    <w:p w:rsidR="006A31AE" w:rsidRPr="00FC32DA" w:rsidRDefault="008A67BE" w:rsidP="006A31AE">
      <w:pPr>
        <w:spacing w:after="0" w:line="240" w:lineRule="auto"/>
        <w:rPr>
          <w:rFonts w:ascii="Arial" w:eastAsia="Times New Roman" w:hAnsi="Arial" w:cs="Arial"/>
          <w:bCs/>
          <w:sz w:val="24"/>
          <w:szCs w:val="24"/>
          <w:lang w:eastAsia="en-GB"/>
        </w:rPr>
      </w:pPr>
      <w:r>
        <w:rPr>
          <w:noProof/>
          <w:lang w:eastAsia="en-GB"/>
        </w:rPr>
        <w:drawing>
          <wp:inline distT="0" distB="0" distL="0" distR="0" wp14:anchorId="1BB8C345" wp14:editId="1543DCA1">
            <wp:extent cx="4206875" cy="2524125"/>
            <wp:effectExtent l="0" t="0" r="3175" b="9525"/>
            <wp:docPr id="13933" name="Chart 139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6A31AE" w:rsidRPr="002235F2" w:rsidRDefault="006A31AE" w:rsidP="00061F50">
      <w:pPr>
        <w:spacing w:before="120" w:after="0" w:line="240" w:lineRule="auto"/>
        <w:rPr>
          <w:rFonts w:ascii="Arial" w:eastAsia="Times New Roman" w:hAnsi="Arial" w:cs="Arial"/>
          <w:bCs/>
          <w:sz w:val="20"/>
          <w:szCs w:val="20"/>
          <w:lang w:eastAsia="en-GB"/>
        </w:rPr>
      </w:pPr>
      <w:r w:rsidRPr="002235F2">
        <w:rPr>
          <w:rFonts w:ascii="Arial" w:eastAsia="Times New Roman" w:hAnsi="Arial" w:cs="Arial"/>
          <w:bCs/>
          <w:sz w:val="20"/>
          <w:szCs w:val="20"/>
          <w:lang w:eastAsia="en-GB"/>
        </w:rPr>
        <w:t>Source : MOPAC Hate Crime Dashboard</w:t>
      </w:r>
    </w:p>
    <w:p w:rsidR="006A31AE" w:rsidRDefault="006A31AE" w:rsidP="006A31AE">
      <w:pPr>
        <w:spacing w:after="0" w:line="240" w:lineRule="auto"/>
        <w:rPr>
          <w:rFonts w:ascii="Arial" w:eastAsia="Times New Roman" w:hAnsi="Arial" w:cs="Arial"/>
          <w:bCs/>
          <w:sz w:val="24"/>
          <w:szCs w:val="24"/>
          <w:lang w:eastAsia="en-GB"/>
        </w:rPr>
      </w:pPr>
    </w:p>
    <w:p w:rsidR="00237FC3" w:rsidRDefault="00237FC3" w:rsidP="006A31AE">
      <w:pPr>
        <w:spacing w:after="0" w:line="240" w:lineRule="auto"/>
        <w:rPr>
          <w:rFonts w:ascii="Arial" w:eastAsia="Times New Roman" w:hAnsi="Arial" w:cs="Arial"/>
          <w:bCs/>
          <w:sz w:val="24"/>
          <w:szCs w:val="24"/>
          <w:lang w:eastAsia="en-GB"/>
        </w:rPr>
      </w:pPr>
    </w:p>
    <w:p w:rsidR="00237FC3" w:rsidRDefault="00237FC3" w:rsidP="006A31AE">
      <w:pPr>
        <w:spacing w:after="0" w:line="240" w:lineRule="auto"/>
        <w:rPr>
          <w:rFonts w:ascii="Arial" w:eastAsia="Times New Roman" w:hAnsi="Arial" w:cs="Arial"/>
          <w:bCs/>
          <w:sz w:val="24"/>
          <w:szCs w:val="24"/>
          <w:lang w:eastAsia="en-GB"/>
        </w:rPr>
      </w:pPr>
    </w:p>
    <w:p w:rsidR="00237FC3" w:rsidRPr="00FC32DA" w:rsidRDefault="00237FC3" w:rsidP="006A31AE">
      <w:pPr>
        <w:spacing w:after="0" w:line="240" w:lineRule="auto"/>
        <w:rPr>
          <w:rFonts w:ascii="Arial" w:eastAsia="Times New Roman" w:hAnsi="Arial" w:cs="Arial"/>
          <w:bCs/>
          <w:sz w:val="24"/>
          <w:szCs w:val="24"/>
          <w:lang w:eastAsia="en-GB"/>
        </w:rPr>
      </w:pPr>
    </w:p>
    <w:p w:rsidR="006A31AE" w:rsidRPr="00670E7E" w:rsidRDefault="006A31AE" w:rsidP="006A31AE">
      <w:pPr>
        <w:spacing w:after="0" w:line="240" w:lineRule="auto"/>
        <w:rPr>
          <w:rFonts w:ascii="Arial" w:eastAsia="Times New Roman" w:hAnsi="Arial" w:cs="Arial"/>
          <w:bCs/>
          <w:sz w:val="24"/>
          <w:szCs w:val="24"/>
          <w:lang w:eastAsia="en-GB"/>
        </w:rPr>
      </w:pPr>
    </w:p>
    <w:p w:rsidR="00333D16" w:rsidRDefault="00333D16" w:rsidP="006A31AE">
      <w:pPr>
        <w:spacing w:after="0" w:line="240" w:lineRule="auto"/>
        <w:rPr>
          <w:rFonts w:ascii="Arial" w:eastAsia="Times New Roman" w:hAnsi="Arial" w:cs="Arial"/>
          <w:bCs/>
          <w:sz w:val="24"/>
          <w:szCs w:val="24"/>
          <w:lang w:eastAsia="en-GB"/>
        </w:rPr>
      </w:pPr>
    </w:p>
    <w:p w:rsidR="00D319D8" w:rsidRDefault="00D319D8" w:rsidP="006A31AE">
      <w:pPr>
        <w:spacing w:after="0" w:line="240" w:lineRule="auto"/>
        <w:rPr>
          <w:rFonts w:ascii="Arial" w:eastAsia="Times New Roman" w:hAnsi="Arial" w:cs="Arial"/>
          <w:bCs/>
          <w:sz w:val="24"/>
          <w:szCs w:val="24"/>
          <w:lang w:eastAsia="en-GB"/>
        </w:rPr>
      </w:pPr>
    </w:p>
    <w:p w:rsidR="006A31AE" w:rsidRPr="00670E7E" w:rsidRDefault="006A31AE" w:rsidP="006A31AE">
      <w:pPr>
        <w:spacing w:after="0" w:line="240" w:lineRule="auto"/>
        <w:rPr>
          <w:rFonts w:ascii="Arial" w:eastAsia="Times New Roman" w:hAnsi="Arial" w:cs="Arial"/>
          <w:bCs/>
          <w:sz w:val="24"/>
          <w:szCs w:val="24"/>
          <w:lang w:eastAsia="en-GB"/>
        </w:rPr>
      </w:pPr>
      <w:r w:rsidRPr="00670E7E">
        <w:rPr>
          <w:rFonts w:ascii="Arial" w:eastAsia="Times New Roman" w:hAnsi="Arial" w:cs="Arial"/>
          <w:bCs/>
          <w:sz w:val="24"/>
          <w:szCs w:val="24"/>
          <w:lang w:eastAsia="en-GB"/>
        </w:rPr>
        <w:lastRenderedPageBreak/>
        <w:t xml:space="preserve">The numbers of Islamophobic hate crimes have been reported following concerns about an increase nationally in this type of hate crime. The latest figures are showing a decreasing trend compared to last year with </w:t>
      </w:r>
      <w:r w:rsidR="008A67BE">
        <w:rPr>
          <w:rFonts w:ascii="Arial" w:eastAsia="Times New Roman" w:hAnsi="Arial" w:cs="Arial"/>
          <w:bCs/>
          <w:sz w:val="24"/>
          <w:szCs w:val="24"/>
          <w:lang w:eastAsia="en-GB"/>
        </w:rPr>
        <w:t>35</w:t>
      </w:r>
      <w:r w:rsidRPr="00670E7E">
        <w:rPr>
          <w:rFonts w:ascii="Arial" w:eastAsia="Times New Roman" w:hAnsi="Arial" w:cs="Arial"/>
          <w:bCs/>
          <w:sz w:val="24"/>
          <w:szCs w:val="24"/>
          <w:lang w:eastAsia="en-GB"/>
        </w:rPr>
        <w:t xml:space="preserve"> reported during the 12 months to </w:t>
      </w:r>
      <w:r w:rsidR="008A67BE">
        <w:rPr>
          <w:rFonts w:ascii="Arial" w:eastAsia="Times New Roman" w:hAnsi="Arial" w:cs="Arial"/>
          <w:bCs/>
          <w:sz w:val="24"/>
          <w:szCs w:val="24"/>
          <w:lang w:eastAsia="en-GB"/>
        </w:rPr>
        <w:t>October</w:t>
      </w:r>
      <w:r w:rsidRPr="00670E7E">
        <w:rPr>
          <w:rFonts w:ascii="Arial" w:eastAsia="Times New Roman" w:hAnsi="Arial" w:cs="Arial"/>
          <w:bCs/>
          <w:sz w:val="24"/>
          <w:szCs w:val="24"/>
          <w:lang w:eastAsia="en-GB"/>
        </w:rPr>
        <w:t xml:space="preserve"> 2018. The number was </w:t>
      </w:r>
      <w:r w:rsidR="006578D6">
        <w:rPr>
          <w:rFonts w:ascii="Arial" w:eastAsia="Times New Roman" w:hAnsi="Arial" w:cs="Arial"/>
          <w:bCs/>
          <w:sz w:val="24"/>
          <w:szCs w:val="24"/>
          <w:lang w:eastAsia="en-GB"/>
        </w:rPr>
        <w:t xml:space="preserve">much higher at </w:t>
      </w:r>
      <w:r w:rsidR="008A67BE">
        <w:rPr>
          <w:rFonts w:ascii="Arial" w:eastAsia="Times New Roman" w:hAnsi="Arial" w:cs="Arial"/>
          <w:bCs/>
          <w:sz w:val="24"/>
          <w:szCs w:val="24"/>
          <w:lang w:eastAsia="en-GB"/>
        </w:rPr>
        <w:t>58</w:t>
      </w:r>
      <w:r w:rsidRPr="00670E7E">
        <w:rPr>
          <w:rFonts w:ascii="Arial" w:eastAsia="Times New Roman" w:hAnsi="Arial" w:cs="Arial"/>
          <w:bCs/>
          <w:sz w:val="24"/>
          <w:szCs w:val="24"/>
          <w:lang w:eastAsia="en-GB"/>
        </w:rPr>
        <w:t xml:space="preserve"> for the same period last year.</w:t>
      </w:r>
    </w:p>
    <w:p w:rsidR="006A31AE" w:rsidRPr="00670E7E" w:rsidRDefault="006A31AE" w:rsidP="006A31AE">
      <w:pPr>
        <w:spacing w:after="0" w:line="240" w:lineRule="auto"/>
        <w:rPr>
          <w:rFonts w:ascii="Arial" w:eastAsia="Times New Roman" w:hAnsi="Arial" w:cs="Arial"/>
          <w:bCs/>
          <w:sz w:val="24"/>
          <w:szCs w:val="24"/>
          <w:lang w:eastAsia="en-GB"/>
        </w:rPr>
      </w:pPr>
    </w:p>
    <w:p w:rsidR="006A31AE" w:rsidRPr="00670E7E" w:rsidRDefault="006A31AE" w:rsidP="006A31AE">
      <w:pPr>
        <w:spacing w:after="0" w:line="240" w:lineRule="auto"/>
        <w:rPr>
          <w:rFonts w:ascii="Arial" w:eastAsia="Times New Roman" w:hAnsi="Arial" w:cs="Arial"/>
          <w:bCs/>
          <w:sz w:val="24"/>
          <w:szCs w:val="24"/>
          <w:lang w:eastAsia="en-GB"/>
        </w:rPr>
      </w:pPr>
    </w:p>
    <w:p w:rsidR="006A31AE" w:rsidRPr="00670E7E" w:rsidRDefault="006A31AE" w:rsidP="006A31AE">
      <w:pPr>
        <w:spacing w:after="0" w:line="240" w:lineRule="auto"/>
        <w:rPr>
          <w:rFonts w:ascii="Arial" w:eastAsia="Times New Roman" w:hAnsi="Arial" w:cs="Arial"/>
          <w:bCs/>
          <w:sz w:val="24"/>
          <w:szCs w:val="24"/>
          <w:u w:val="single"/>
          <w:lang w:eastAsia="en-GB"/>
        </w:rPr>
      </w:pPr>
      <w:r w:rsidRPr="00670E7E">
        <w:rPr>
          <w:rFonts w:ascii="Arial" w:eastAsia="Times New Roman" w:hAnsi="Arial" w:cs="Arial"/>
          <w:bCs/>
          <w:sz w:val="24"/>
          <w:szCs w:val="24"/>
          <w:u w:val="single"/>
          <w:lang w:eastAsia="en-GB"/>
        </w:rPr>
        <w:t xml:space="preserve">Figure </w:t>
      </w:r>
      <w:r w:rsidR="007B5AAA" w:rsidRPr="00670E7E">
        <w:rPr>
          <w:rFonts w:ascii="Arial" w:eastAsia="Times New Roman" w:hAnsi="Arial" w:cs="Arial"/>
          <w:bCs/>
          <w:sz w:val="24"/>
          <w:szCs w:val="24"/>
          <w:u w:val="single"/>
          <w:lang w:eastAsia="en-GB"/>
        </w:rPr>
        <w:t>1</w:t>
      </w:r>
      <w:r w:rsidR="007F230E">
        <w:rPr>
          <w:rFonts w:ascii="Arial" w:eastAsia="Times New Roman" w:hAnsi="Arial" w:cs="Arial"/>
          <w:bCs/>
          <w:sz w:val="24"/>
          <w:szCs w:val="24"/>
          <w:u w:val="single"/>
          <w:lang w:eastAsia="en-GB"/>
        </w:rPr>
        <w:t>7</w:t>
      </w:r>
      <w:r w:rsidRPr="00670E7E">
        <w:rPr>
          <w:rFonts w:ascii="Arial" w:eastAsia="Times New Roman" w:hAnsi="Arial" w:cs="Arial"/>
          <w:bCs/>
          <w:sz w:val="24"/>
          <w:szCs w:val="24"/>
          <w:u w:val="single"/>
          <w:lang w:eastAsia="en-GB"/>
        </w:rPr>
        <w:t xml:space="preserve"> – Islamophobic hate crime</w:t>
      </w:r>
    </w:p>
    <w:p w:rsidR="006A31AE" w:rsidRPr="00670E7E" w:rsidRDefault="006A31AE" w:rsidP="00D319D8">
      <w:pPr>
        <w:spacing w:after="0" w:line="240" w:lineRule="auto"/>
        <w:rPr>
          <w:rFonts w:ascii="Arial" w:eastAsia="Times New Roman" w:hAnsi="Arial" w:cs="Arial"/>
          <w:bCs/>
          <w:sz w:val="24"/>
          <w:szCs w:val="24"/>
          <w:lang w:eastAsia="en-GB"/>
        </w:rPr>
      </w:pPr>
    </w:p>
    <w:p w:rsidR="006A31AE" w:rsidRDefault="008A67BE" w:rsidP="00D319D8">
      <w:pPr>
        <w:spacing w:after="0" w:line="240" w:lineRule="auto"/>
        <w:rPr>
          <w:rFonts w:ascii="Arial" w:eastAsia="Times New Roman" w:hAnsi="Arial" w:cs="Arial"/>
          <w:bCs/>
          <w:sz w:val="24"/>
          <w:szCs w:val="24"/>
          <w:lang w:eastAsia="en-GB"/>
        </w:rPr>
      </w:pPr>
      <w:r>
        <w:rPr>
          <w:noProof/>
          <w:lang w:eastAsia="en-GB"/>
        </w:rPr>
        <w:drawing>
          <wp:inline distT="0" distB="0" distL="0" distR="0" wp14:anchorId="51E9D2A8" wp14:editId="3A392D3A">
            <wp:extent cx="4103370" cy="2491740"/>
            <wp:effectExtent l="0" t="0" r="11430" b="3810"/>
            <wp:docPr id="13934" name="Chart 139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rsidR="006A31AE" w:rsidRPr="002235F2" w:rsidRDefault="006A31AE" w:rsidP="00061F50">
      <w:pPr>
        <w:spacing w:before="120" w:after="0" w:line="240" w:lineRule="auto"/>
        <w:rPr>
          <w:rFonts w:ascii="Arial" w:eastAsia="Times New Roman" w:hAnsi="Arial" w:cs="Arial"/>
          <w:bCs/>
          <w:sz w:val="20"/>
          <w:szCs w:val="20"/>
          <w:lang w:eastAsia="en-GB"/>
        </w:rPr>
      </w:pPr>
      <w:r w:rsidRPr="002235F2">
        <w:rPr>
          <w:rFonts w:ascii="Arial" w:eastAsia="Times New Roman" w:hAnsi="Arial" w:cs="Arial"/>
          <w:bCs/>
          <w:sz w:val="20"/>
          <w:szCs w:val="20"/>
          <w:lang w:eastAsia="en-GB"/>
        </w:rPr>
        <w:t>Source : MOPAC Hate Crime Dashboard</w:t>
      </w:r>
    </w:p>
    <w:p w:rsidR="006A31AE" w:rsidRPr="00670E7E" w:rsidRDefault="006A31AE" w:rsidP="00061F50">
      <w:pPr>
        <w:spacing w:before="120" w:after="0" w:line="240" w:lineRule="auto"/>
        <w:rPr>
          <w:rFonts w:ascii="Arial" w:eastAsia="Times New Roman" w:hAnsi="Arial" w:cs="Arial"/>
          <w:bCs/>
          <w:sz w:val="24"/>
          <w:szCs w:val="24"/>
          <w:lang w:eastAsia="en-GB"/>
        </w:rPr>
      </w:pPr>
    </w:p>
    <w:p w:rsidR="006A31AE" w:rsidRDefault="006A31AE" w:rsidP="006A31AE">
      <w:pPr>
        <w:spacing w:after="0" w:line="240" w:lineRule="auto"/>
        <w:rPr>
          <w:rFonts w:ascii="Arial" w:eastAsia="Times New Roman" w:hAnsi="Arial" w:cs="Arial"/>
          <w:bCs/>
          <w:sz w:val="24"/>
          <w:szCs w:val="24"/>
          <w:lang w:eastAsia="en-GB"/>
        </w:rPr>
      </w:pPr>
    </w:p>
    <w:p w:rsidR="00C01780" w:rsidRDefault="00C01780" w:rsidP="006A31AE">
      <w:pPr>
        <w:spacing w:after="0" w:line="240" w:lineRule="auto"/>
        <w:rPr>
          <w:rFonts w:ascii="Arial" w:eastAsia="Times New Roman" w:hAnsi="Arial" w:cs="Arial"/>
          <w:bCs/>
          <w:sz w:val="24"/>
          <w:szCs w:val="24"/>
          <w:lang w:eastAsia="en-GB"/>
        </w:rPr>
      </w:pPr>
    </w:p>
    <w:p w:rsidR="00C01780" w:rsidRDefault="00C01780" w:rsidP="006A31AE">
      <w:pPr>
        <w:spacing w:after="0" w:line="240" w:lineRule="auto"/>
        <w:rPr>
          <w:rFonts w:ascii="Arial" w:eastAsia="Times New Roman" w:hAnsi="Arial" w:cs="Arial"/>
          <w:bCs/>
          <w:sz w:val="24"/>
          <w:szCs w:val="24"/>
          <w:lang w:eastAsia="en-GB"/>
        </w:rPr>
      </w:pPr>
    </w:p>
    <w:p w:rsidR="004327FC" w:rsidRDefault="004327FC" w:rsidP="006A31AE">
      <w:pPr>
        <w:spacing w:after="0" w:line="240" w:lineRule="auto"/>
        <w:rPr>
          <w:rFonts w:ascii="Arial" w:eastAsia="Times New Roman" w:hAnsi="Arial" w:cs="Arial"/>
          <w:bCs/>
          <w:sz w:val="24"/>
          <w:szCs w:val="24"/>
          <w:lang w:eastAsia="en-GB"/>
        </w:rPr>
      </w:pPr>
    </w:p>
    <w:p w:rsidR="004327FC" w:rsidRDefault="004327FC" w:rsidP="006A31AE">
      <w:pPr>
        <w:spacing w:after="0" w:line="240" w:lineRule="auto"/>
        <w:rPr>
          <w:rFonts w:ascii="Arial" w:eastAsia="Times New Roman" w:hAnsi="Arial" w:cs="Arial"/>
          <w:bCs/>
          <w:sz w:val="24"/>
          <w:szCs w:val="24"/>
          <w:lang w:eastAsia="en-GB"/>
        </w:rPr>
      </w:pPr>
    </w:p>
    <w:p w:rsidR="006578D6" w:rsidRPr="006578D6" w:rsidRDefault="006578D6" w:rsidP="006A31AE">
      <w:pPr>
        <w:spacing w:after="0" w:line="240" w:lineRule="auto"/>
        <w:rPr>
          <w:rFonts w:ascii="Arial" w:eastAsia="Times New Roman" w:hAnsi="Arial" w:cs="Arial"/>
          <w:bCs/>
          <w:sz w:val="24"/>
          <w:szCs w:val="24"/>
          <w:lang w:eastAsia="en-GB"/>
        </w:rPr>
      </w:pPr>
      <w:r w:rsidRPr="006578D6">
        <w:rPr>
          <w:rFonts w:ascii="Arial" w:eastAsia="Times New Roman" w:hAnsi="Arial" w:cs="Arial"/>
          <w:bCs/>
          <w:sz w:val="24"/>
          <w:szCs w:val="24"/>
          <w:lang w:eastAsia="en-GB"/>
        </w:rPr>
        <w:t>All the uncertainty around BREXIT has contributed to a rise in the presence of nationalist groups and this</w:t>
      </w:r>
      <w:r>
        <w:rPr>
          <w:rFonts w:ascii="Arial" w:eastAsia="Times New Roman" w:hAnsi="Arial" w:cs="Arial"/>
          <w:bCs/>
          <w:sz w:val="24"/>
          <w:szCs w:val="24"/>
          <w:lang w:eastAsia="en-GB"/>
        </w:rPr>
        <w:t>,</w:t>
      </w:r>
      <w:r w:rsidRPr="006578D6">
        <w:rPr>
          <w:rFonts w:ascii="Arial" w:eastAsia="Times New Roman" w:hAnsi="Arial" w:cs="Arial"/>
          <w:bCs/>
          <w:sz w:val="24"/>
          <w:szCs w:val="24"/>
          <w:lang w:eastAsia="en-GB"/>
        </w:rPr>
        <w:t xml:space="preserve"> in turn</w:t>
      </w:r>
      <w:r>
        <w:rPr>
          <w:rFonts w:ascii="Arial" w:eastAsia="Times New Roman" w:hAnsi="Arial" w:cs="Arial"/>
          <w:bCs/>
          <w:sz w:val="24"/>
          <w:szCs w:val="24"/>
          <w:lang w:eastAsia="en-GB"/>
        </w:rPr>
        <w:t>,</w:t>
      </w:r>
      <w:r w:rsidRPr="006578D6">
        <w:rPr>
          <w:rFonts w:ascii="Arial" w:eastAsia="Times New Roman" w:hAnsi="Arial" w:cs="Arial"/>
          <w:bCs/>
          <w:sz w:val="24"/>
          <w:szCs w:val="24"/>
          <w:lang w:eastAsia="en-GB"/>
        </w:rPr>
        <w:t xml:space="preserve"> has led to a rise in the number of anti-semetic incid</w:t>
      </w:r>
      <w:r>
        <w:rPr>
          <w:rFonts w:ascii="Arial" w:eastAsia="Times New Roman" w:hAnsi="Arial" w:cs="Arial"/>
          <w:bCs/>
          <w:sz w:val="24"/>
          <w:szCs w:val="24"/>
          <w:lang w:eastAsia="en-GB"/>
        </w:rPr>
        <w:t>ents reported to the Police.</w:t>
      </w:r>
    </w:p>
    <w:p w:rsidR="00333D16" w:rsidRDefault="00333D16" w:rsidP="006A31AE">
      <w:pPr>
        <w:spacing w:after="0" w:line="240" w:lineRule="auto"/>
        <w:rPr>
          <w:rFonts w:ascii="Arial" w:eastAsia="Times New Roman" w:hAnsi="Arial" w:cs="Arial"/>
          <w:bCs/>
          <w:sz w:val="24"/>
          <w:szCs w:val="24"/>
          <w:u w:val="single"/>
          <w:lang w:eastAsia="en-GB"/>
        </w:rPr>
      </w:pPr>
    </w:p>
    <w:p w:rsidR="006578D6" w:rsidRPr="006578D6" w:rsidRDefault="006578D6" w:rsidP="006A31AE">
      <w:pPr>
        <w:spacing w:after="0" w:line="240" w:lineRule="auto"/>
        <w:rPr>
          <w:rFonts w:ascii="Arial" w:eastAsia="Times New Roman" w:hAnsi="Arial" w:cs="Arial"/>
          <w:bCs/>
          <w:sz w:val="24"/>
          <w:szCs w:val="24"/>
          <w:lang w:eastAsia="en-GB"/>
        </w:rPr>
      </w:pPr>
      <w:r w:rsidRPr="006578D6">
        <w:rPr>
          <w:rFonts w:ascii="Arial" w:eastAsia="Times New Roman" w:hAnsi="Arial" w:cs="Arial"/>
          <w:bCs/>
          <w:sz w:val="24"/>
          <w:szCs w:val="24"/>
          <w:lang w:eastAsia="en-GB"/>
        </w:rPr>
        <w:t>Figure 18 shows that the number of these types of hate crime in Croydon has been increasing but fortunately, the numbers r</w:t>
      </w:r>
      <w:r>
        <w:rPr>
          <w:rFonts w:ascii="Arial" w:eastAsia="Times New Roman" w:hAnsi="Arial" w:cs="Arial"/>
          <w:bCs/>
          <w:sz w:val="24"/>
          <w:szCs w:val="24"/>
          <w:lang w:eastAsia="en-GB"/>
        </w:rPr>
        <w:t>e</w:t>
      </w:r>
      <w:r w:rsidRPr="006578D6">
        <w:rPr>
          <w:rFonts w:ascii="Arial" w:eastAsia="Times New Roman" w:hAnsi="Arial" w:cs="Arial"/>
          <w:bCs/>
          <w:sz w:val="24"/>
          <w:szCs w:val="24"/>
          <w:lang w:eastAsia="en-GB"/>
        </w:rPr>
        <w:t>ported are still quite low with 6 being the most reported in any giv</w:t>
      </w:r>
      <w:r>
        <w:rPr>
          <w:rFonts w:ascii="Arial" w:eastAsia="Times New Roman" w:hAnsi="Arial" w:cs="Arial"/>
          <w:bCs/>
          <w:sz w:val="24"/>
          <w:szCs w:val="24"/>
          <w:lang w:eastAsia="en-GB"/>
        </w:rPr>
        <w:t>e</w:t>
      </w:r>
      <w:r w:rsidRPr="006578D6">
        <w:rPr>
          <w:rFonts w:ascii="Arial" w:eastAsia="Times New Roman" w:hAnsi="Arial" w:cs="Arial"/>
          <w:bCs/>
          <w:sz w:val="24"/>
          <w:szCs w:val="24"/>
          <w:lang w:eastAsia="en-GB"/>
        </w:rPr>
        <w:t>n 12 month rolling period.</w:t>
      </w:r>
    </w:p>
    <w:p w:rsidR="007F230E" w:rsidRDefault="007F230E" w:rsidP="006A31AE">
      <w:pPr>
        <w:spacing w:after="0" w:line="240" w:lineRule="auto"/>
        <w:rPr>
          <w:rFonts w:ascii="Arial" w:eastAsia="Times New Roman" w:hAnsi="Arial" w:cs="Arial"/>
          <w:bCs/>
          <w:sz w:val="24"/>
          <w:szCs w:val="24"/>
          <w:u w:val="single"/>
          <w:lang w:eastAsia="en-GB"/>
        </w:rPr>
      </w:pPr>
    </w:p>
    <w:p w:rsidR="007F230E" w:rsidRDefault="007F230E" w:rsidP="006A31AE">
      <w:pPr>
        <w:spacing w:after="0" w:line="240" w:lineRule="auto"/>
        <w:rPr>
          <w:rFonts w:ascii="Arial" w:eastAsia="Times New Roman" w:hAnsi="Arial" w:cs="Arial"/>
          <w:bCs/>
          <w:sz w:val="24"/>
          <w:szCs w:val="24"/>
          <w:u w:val="single"/>
          <w:lang w:eastAsia="en-GB"/>
        </w:rPr>
      </w:pPr>
    </w:p>
    <w:p w:rsidR="00BC319F" w:rsidRDefault="00BC319F" w:rsidP="006A31AE">
      <w:pPr>
        <w:spacing w:after="0" w:line="240" w:lineRule="auto"/>
        <w:rPr>
          <w:rFonts w:ascii="Arial" w:eastAsia="Times New Roman" w:hAnsi="Arial" w:cs="Arial"/>
          <w:bCs/>
          <w:sz w:val="24"/>
          <w:szCs w:val="24"/>
          <w:u w:val="single"/>
          <w:lang w:eastAsia="en-GB"/>
        </w:rPr>
      </w:pPr>
      <w:r w:rsidRPr="00670E7E">
        <w:rPr>
          <w:rFonts w:ascii="Arial" w:eastAsia="Times New Roman" w:hAnsi="Arial" w:cs="Arial"/>
          <w:bCs/>
          <w:sz w:val="24"/>
          <w:szCs w:val="24"/>
          <w:u w:val="single"/>
          <w:lang w:eastAsia="en-GB"/>
        </w:rPr>
        <w:t>Figure 1</w:t>
      </w:r>
      <w:r w:rsidR="007F230E">
        <w:rPr>
          <w:rFonts w:ascii="Arial" w:eastAsia="Times New Roman" w:hAnsi="Arial" w:cs="Arial"/>
          <w:bCs/>
          <w:sz w:val="24"/>
          <w:szCs w:val="24"/>
          <w:u w:val="single"/>
          <w:lang w:eastAsia="en-GB"/>
        </w:rPr>
        <w:t>8</w:t>
      </w:r>
      <w:r w:rsidR="00236C16">
        <w:rPr>
          <w:rFonts w:ascii="Arial" w:eastAsia="Times New Roman" w:hAnsi="Arial" w:cs="Arial"/>
          <w:bCs/>
          <w:sz w:val="24"/>
          <w:szCs w:val="24"/>
          <w:u w:val="single"/>
          <w:lang w:eastAsia="en-GB"/>
        </w:rPr>
        <w:t xml:space="preserve"> – Anti-semetic</w:t>
      </w:r>
      <w:r w:rsidRPr="00670E7E">
        <w:rPr>
          <w:rFonts w:ascii="Arial" w:eastAsia="Times New Roman" w:hAnsi="Arial" w:cs="Arial"/>
          <w:bCs/>
          <w:sz w:val="24"/>
          <w:szCs w:val="24"/>
          <w:u w:val="single"/>
          <w:lang w:eastAsia="en-GB"/>
        </w:rPr>
        <w:t xml:space="preserve"> hate crime</w:t>
      </w:r>
    </w:p>
    <w:p w:rsidR="00BC319F" w:rsidRDefault="00BC319F" w:rsidP="006A31AE">
      <w:pPr>
        <w:spacing w:after="0" w:line="240" w:lineRule="auto"/>
        <w:rPr>
          <w:rFonts w:ascii="Arial" w:eastAsia="Times New Roman" w:hAnsi="Arial" w:cs="Arial"/>
          <w:bCs/>
          <w:sz w:val="24"/>
          <w:szCs w:val="24"/>
          <w:u w:val="single"/>
          <w:lang w:eastAsia="en-GB"/>
        </w:rPr>
      </w:pPr>
    </w:p>
    <w:p w:rsidR="00BC319F" w:rsidRDefault="00BC319F" w:rsidP="006A31AE">
      <w:pPr>
        <w:spacing w:after="0" w:line="240" w:lineRule="auto"/>
        <w:rPr>
          <w:rFonts w:ascii="Arial" w:eastAsia="Times New Roman" w:hAnsi="Arial" w:cs="Arial"/>
          <w:bCs/>
          <w:sz w:val="24"/>
          <w:szCs w:val="24"/>
          <w:u w:val="single"/>
          <w:lang w:eastAsia="en-GB"/>
        </w:rPr>
      </w:pPr>
      <w:r>
        <w:rPr>
          <w:noProof/>
          <w:lang w:eastAsia="en-GB"/>
        </w:rPr>
        <w:drawing>
          <wp:inline distT="0" distB="0" distL="0" distR="0" wp14:anchorId="59F7BCEE" wp14:editId="66F921BB">
            <wp:extent cx="4278086" cy="2383971"/>
            <wp:effectExtent l="0" t="0" r="8255" b="16510"/>
            <wp:docPr id="13928" name="Chart 1392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BC319F" w:rsidRPr="002235F2" w:rsidRDefault="00BC319F" w:rsidP="00061F50">
      <w:pPr>
        <w:spacing w:before="120" w:after="0" w:line="240" w:lineRule="auto"/>
        <w:rPr>
          <w:rFonts w:ascii="Arial" w:eastAsia="Times New Roman" w:hAnsi="Arial" w:cs="Arial"/>
          <w:bCs/>
          <w:sz w:val="20"/>
          <w:szCs w:val="20"/>
          <w:lang w:eastAsia="en-GB"/>
        </w:rPr>
      </w:pPr>
      <w:r w:rsidRPr="002235F2">
        <w:rPr>
          <w:rFonts w:ascii="Arial" w:eastAsia="Times New Roman" w:hAnsi="Arial" w:cs="Arial"/>
          <w:bCs/>
          <w:sz w:val="20"/>
          <w:szCs w:val="20"/>
          <w:lang w:eastAsia="en-GB"/>
        </w:rPr>
        <w:t>Source : MOPAC Hate Crime Dashboard</w:t>
      </w:r>
    </w:p>
    <w:p w:rsidR="00BC319F" w:rsidRDefault="00BC319F" w:rsidP="006A31AE">
      <w:pPr>
        <w:spacing w:after="0" w:line="240" w:lineRule="auto"/>
        <w:rPr>
          <w:rFonts w:ascii="Arial" w:eastAsia="Times New Roman" w:hAnsi="Arial" w:cs="Arial"/>
          <w:bCs/>
          <w:sz w:val="24"/>
          <w:szCs w:val="24"/>
          <w:u w:val="single"/>
          <w:lang w:eastAsia="en-GB"/>
        </w:rPr>
      </w:pPr>
    </w:p>
    <w:p w:rsidR="00BC319F" w:rsidRDefault="00BC319F" w:rsidP="006A31AE">
      <w:pPr>
        <w:spacing w:after="0" w:line="240" w:lineRule="auto"/>
        <w:rPr>
          <w:rFonts w:ascii="Arial" w:eastAsia="Times New Roman" w:hAnsi="Arial" w:cs="Arial"/>
          <w:bCs/>
          <w:sz w:val="24"/>
          <w:szCs w:val="24"/>
          <w:u w:val="single"/>
          <w:lang w:eastAsia="en-GB"/>
        </w:rPr>
      </w:pPr>
    </w:p>
    <w:p w:rsidR="00BC319F" w:rsidRDefault="00BC319F" w:rsidP="006A31AE">
      <w:pPr>
        <w:spacing w:after="0" w:line="240" w:lineRule="auto"/>
        <w:rPr>
          <w:rFonts w:ascii="Arial" w:eastAsia="Times New Roman" w:hAnsi="Arial" w:cs="Arial"/>
          <w:bCs/>
          <w:sz w:val="24"/>
          <w:szCs w:val="24"/>
          <w:u w:val="single"/>
          <w:lang w:eastAsia="en-GB"/>
        </w:rPr>
      </w:pPr>
    </w:p>
    <w:p w:rsidR="006578D6" w:rsidRDefault="006578D6" w:rsidP="007F230E">
      <w:pPr>
        <w:spacing w:after="0" w:line="240" w:lineRule="auto"/>
        <w:rPr>
          <w:rFonts w:ascii="Arial" w:eastAsia="Times New Roman" w:hAnsi="Arial" w:cs="Arial"/>
          <w:bCs/>
          <w:sz w:val="24"/>
          <w:szCs w:val="24"/>
          <w:lang w:eastAsia="en-GB"/>
        </w:rPr>
      </w:pPr>
    </w:p>
    <w:p w:rsidR="007F230E" w:rsidRPr="00670E7E" w:rsidRDefault="007F230E" w:rsidP="007F230E">
      <w:pPr>
        <w:spacing w:after="0" w:line="240" w:lineRule="auto"/>
        <w:rPr>
          <w:rFonts w:ascii="Arial" w:eastAsia="Times New Roman" w:hAnsi="Arial" w:cs="Arial"/>
          <w:bCs/>
          <w:sz w:val="24"/>
          <w:szCs w:val="24"/>
          <w:lang w:eastAsia="en-GB"/>
        </w:rPr>
      </w:pPr>
      <w:r w:rsidRPr="00670E7E">
        <w:rPr>
          <w:rFonts w:ascii="Arial" w:eastAsia="Times New Roman" w:hAnsi="Arial" w:cs="Arial"/>
          <w:bCs/>
          <w:sz w:val="24"/>
          <w:szCs w:val="24"/>
          <w:lang w:eastAsia="en-GB"/>
        </w:rPr>
        <w:lastRenderedPageBreak/>
        <w:t xml:space="preserve">There has been quite a high number of sexual orientation hate crimes reported to the MPS in Croydon each year. The figures have risen from a base of around 20-30 crimes </w:t>
      </w:r>
      <w:r w:rsidR="006578D6">
        <w:rPr>
          <w:rFonts w:ascii="Arial" w:eastAsia="Times New Roman" w:hAnsi="Arial" w:cs="Arial"/>
          <w:bCs/>
          <w:sz w:val="24"/>
          <w:szCs w:val="24"/>
          <w:lang w:eastAsia="en-GB"/>
        </w:rPr>
        <w:t>in 2012/2013</w:t>
      </w:r>
      <w:r w:rsidRPr="00670E7E">
        <w:rPr>
          <w:rFonts w:ascii="Arial" w:eastAsia="Times New Roman" w:hAnsi="Arial" w:cs="Arial"/>
          <w:bCs/>
          <w:sz w:val="24"/>
          <w:szCs w:val="24"/>
          <w:lang w:eastAsia="en-GB"/>
        </w:rPr>
        <w:t xml:space="preserve"> and 2013 to </w:t>
      </w:r>
      <w:r w:rsidR="006578D6">
        <w:rPr>
          <w:rFonts w:ascii="Arial" w:eastAsia="Times New Roman" w:hAnsi="Arial" w:cs="Arial"/>
          <w:bCs/>
          <w:sz w:val="24"/>
          <w:szCs w:val="24"/>
          <w:lang w:eastAsia="en-GB"/>
        </w:rPr>
        <w:t xml:space="preserve">a figure of </w:t>
      </w:r>
      <w:r w:rsidR="00162F88">
        <w:rPr>
          <w:rFonts w:ascii="Arial" w:eastAsia="Times New Roman" w:hAnsi="Arial" w:cs="Arial"/>
          <w:bCs/>
          <w:sz w:val="24"/>
          <w:szCs w:val="24"/>
          <w:lang w:eastAsia="en-GB"/>
        </w:rPr>
        <w:t>52</w:t>
      </w:r>
      <w:r w:rsidRPr="00670E7E">
        <w:rPr>
          <w:rFonts w:ascii="Arial" w:eastAsia="Times New Roman" w:hAnsi="Arial" w:cs="Arial"/>
          <w:bCs/>
          <w:sz w:val="24"/>
          <w:szCs w:val="24"/>
          <w:lang w:eastAsia="en-GB"/>
        </w:rPr>
        <w:t xml:space="preserve"> in the 12 rolling months to </w:t>
      </w:r>
      <w:r w:rsidR="00162F88">
        <w:rPr>
          <w:rFonts w:ascii="Arial" w:eastAsia="Times New Roman" w:hAnsi="Arial" w:cs="Arial"/>
          <w:bCs/>
          <w:sz w:val="24"/>
          <w:szCs w:val="24"/>
          <w:lang w:eastAsia="en-GB"/>
        </w:rPr>
        <w:t>31.October 2018.</w:t>
      </w:r>
      <w:r w:rsidRPr="00670E7E">
        <w:rPr>
          <w:rFonts w:ascii="Arial" w:eastAsia="Times New Roman" w:hAnsi="Arial" w:cs="Arial"/>
          <w:bCs/>
          <w:sz w:val="24"/>
          <w:szCs w:val="24"/>
          <w:lang w:eastAsia="en-GB"/>
        </w:rPr>
        <w:t xml:space="preserve">  The positive message is that the number is </w:t>
      </w:r>
      <w:r w:rsidR="006578D6">
        <w:rPr>
          <w:rFonts w:ascii="Arial" w:eastAsia="Times New Roman" w:hAnsi="Arial" w:cs="Arial"/>
          <w:bCs/>
          <w:sz w:val="24"/>
          <w:szCs w:val="24"/>
          <w:lang w:eastAsia="en-GB"/>
        </w:rPr>
        <w:t xml:space="preserve">lower than the </w:t>
      </w:r>
      <w:r w:rsidR="002235F2">
        <w:rPr>
          <w:rFonts w:ascii="Arial" w:eastAsia="Times New Roman" w:hAnsi="Arial" w:cs="Arial"/>
          <w:bCs/>
          <w:sz w:val="24"/>
          <w:szCs w:val="24"/>
          <w:lang w:eastAsia="en-GB"/>
        </w:rPr>
        <w:t xml:space="preserve">58 </w:t>
      </w:r>
      <w:r w:rsidRPr="00670E7E">
        <w:rPr>
          <w:rFonts w:ascii="Arial" w:eastAsia="Times New Roman" w:hAnsi="Arial" w:cs="Arial"/>
          <w:bCs/>
          <w:sz w:val="24"/>
          <w:szCs w:val="24"/>
          <w:lang w:eastAsia="en-GB"/>
        </w:rPr>
        <w:t xml:space="preserve">reported </w:t>
      </w:r>
      <w:r w:rsidR="002235F2">
        <w:rPr>
          <w:rFonts w:ascii="Arial" w:eastAsia="Times New Roman" w:hAnsi="Arial" w:cs="Arial"/>
          <w:bCs/>
          <w:sz w:val="24"/>
          <w:szCs w:val="24"/>
          <w:lang w:eastAsia="en-GB"/>
        </w:rPr>
        <w:t xml:space="preserve">over the </w:t>
      </w:r>
      <w:r w:rsidRPr="00670E7E">
        <w:rPr>
          <w:rFonts w:ascii="Arial" w:eastAsia="Times New Roman" w:hAnsi="Arial" w:cs="Arial"/>
          <w:bCs/>
          <w:sz w:val="24"/>
          <w:szCs w:val="24"/>
          <w:lang w:eastAsia="en-GB"/>
        </w:rPr>
        <w:t>same period last year.</w:t>
      </w:r>
    </w:p>
    <w:p w:rsidR="00BC319F" w:rsidRDefault="00BC319F" w:rsidP="006A31AE">
      <w:pPr>
        <w:spacing w:after="0" w:line="240" w:lineRule="auto"/>
        <w:rPr>
          <w:rFonts w:ascii="Arial" w:eastAsia="Times New Roman" w:hAnsi="Arial" w:cs="Arial"/>
          <w:bCs/>
          <w:sz w:val="24"/>
          <w:szCs w:val="24"/>
          <w:u w:val="single"/>
          <w:lang w:eastAsia="en-GB"/>
        </w:rPr>
      </w:pPr>
    </w:p>
    <w:p w:rsidR="00BC319F" w:rsidRDefault="00BC319F" w:rsidP="006A31AE">
      <w:pPr>
        <w:spacing w:after="0" w:line="240" w:lineRule="auto"/>
        <w:rPr>
          <w:rFonts w:ascii="Arial" w:eastAsia="Times New Roman" w:hAnsi="Arial" w:cs="Arial"/>
          <w:bCs/>
          <w:sz w:val="24"/>
          <w:szCs w:val="24"/>
          <w:u w:val="single"/>
          <w:lang w:eastAsia="en-GB"/>
        </w:rPr>
      </w:pPr>
    </w:p>
    <w:p w:rsidR="006A31AE" w:rsidRPr="00670E7E" w:rsidRDefault="006A31AE" w:rsidP="006A31AE">
      <w:pPr>
        <w:spacing w:after="0" w:line="240" w:lineRule="auto"/>
        <w:rPr>
          <w:rFonts w:ascii="Arial" w:eastAsia="Times New Roman" w:hAnsi="Arial" w:cs="Arial"/>
          <w:bCs/>
          <w:sz w:val="24"/>
          <w:szCs w:val="24"/>
          <w:u w:val="single"/>
          <w:lang w:eastAsia="en-GB"/>
        </w:rPr>
      </w:pPr>
      <w:r w:rsidRPr="00670E7E">
        <w:rPr>
          <w:rFonts w:ascii="Arial" w:eastAsia="Times New Roman" w:hAnsi="Arial" w:cs="Arial"/>
          <w:bCs/>
          <w:sz w:val="24"/>
          <w:szCs w:val="24"/>
          <w:u w:val="single"/>
          <w:lang w:eastAsia="en-GB"/>
        </w:rPr>
        <w:t xml:space="preserve">Figure </w:t>
      </w:r>
      <w:r w:rsidR="007B5AAA" w:rsidRPr="00670E7E">
        <w:rPr>
          <w:rFonts w:ascii="Arial" w:eastAsia="Times New Roman" w:hAnsi="Arial" w:cs="Arial"/>
          <w:bCs/>
          <w:sz w:val="24"/>
          <w:szCs w:val="24"/>
          <w:u w:val="single"/>
          <w:lang w:eastAsia="en-GB"/>
        </w:rPr>
        <w:t>1</w:t>
      </w:r>
      <w:r w:rsidR="008D3CFD">
        <w:rPr>
          <w:rFonts w:ascii="Arial" w:eastAsia="Times New Roman" w:hAnsi="Arial" w:cs="Arial"/>
          <w:bCs/>
          <w:sz w:val="24"/>
          <w:szCs w:val="24"/>
          <w:u w:val="single"/>
          <w:lang w:eastAsia="en-GB"/>
        </w:rPr>
        <w:t>9</w:t>
      </w:r>
      <w:r w:rsidR="007B5AAA" w:rsidRPr="00670E7E">
        <w:rPr>
          <w:rFonts w:ascii="Arial" w:eastAsia="Times New Roman" w:hAnsi="Arial" w:cs="Arial"/>
          <w:bCs/>
          <w:sz w:val="24"/>
          <w:szCs w:val="24"/>
          <w:u w:val="single"/>
          <w:lang w:eastAsia="en-GB"/>
        </w:rPr>
        <w:t xml:space="preserve"> </w:t>
      </w:r>
      <w:r w:rsidRPr="00670E7E">
        <w:rPr>
          <w:rFonts w:ascii="Arial" w:eastAsia="Times New Roman" w:hAnsi="Arial" w:cs="Arial"/>
          <w:bCs/>
          <w:sz w:val="24"/>
          <w:szCs w:val="24"/>
          <w:u w:val="single"/>
          <w:lang w:eastAsia="en-GB"/>
        </w:rPr>
        <w:t>- Sexual orientation hate crime</w:t>
      </w:r>
    </w:p>
    <w:p w:rsidR="006A31AE" w:rsidRPr="00670E7E" w:rsidRDefault="006A31AE" w:rsidP="006A31AE">
      <w:pPr>
        <w:spacing w:after="0" w:line="240" w:lineRule="auto"/>
        <w:rPr>
          <w:rFonts w:ascii="Arial" w:eastAsia="Times New Roman" w:hAnsi="Arial" w:cs="Arial"/>
          <w:bCs/>
          <w:sz w:val="24"/>
          <w:szCs w:val="24"/>
          <w:lang w:eastAsia="en-GB"/>
        </w:rPr>
      </w:pPr>
    </w:p>
    <w:p w:rsidR="006A31AE" w:rsidRDefault="00162F88" w:rsidP="00D319D8">
      <w:pPr>
        <w:spacing w:after="0" w:line="240" w:lineRule="auto"/>
        <w:rPr>
          <w:rFonts w:ascii="Arial" w:eastAsia="Times New Roman" w:hAnsi="Arial" w:cs="Arial"/>
          <w:bCs/>
          <w:sz w:val="24"/>
          <w:szCs w:val="24"/>
          <w:lang w:eastAsia="en-GB"/>
        </w:rPr>
      </w:pPr>
      <w:r>
        <w:rPr>
          <w:noProof/>
          <w:lang w:eastAsia="en-GB"/>
        </w:rPr>
        <w:drawing>
          <wp:inline distT="0" distB="0" distL="0" distR="0" wp14:anchorId="31DDB574" wp14:editId="34FD13EA">
            <wp:extent cx="4244975" cy="2427333"/>
            <wp:effectExtent l="0" t="0" r="3175" b="11430"/>
            <wp:docPr id="13935" name="Chart 139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6A31AE" w:rsidRPr="002235F2" w:rsidRDefault="006A31AE" w:rsidP="00061F50">
      <w:pPr>
        <w:spacing w:before="120" w:after="0" w:line="240" w:lineRule="auto"/>
        <w:rPr>
          <w:rFonts w:ascii="Arial" w:eastAsia="Times New Roman" w:hAnsi="Arial" w:cs="Arial"/>
          <w:bCs/>
          <w:sz w:val="20"/>
          <w:szCs w:val="20"/>
          <w:lang w:eastAsia="en-GB"/>
        </w:rPr>
      </w:pPr>
      <w:r w:rsidRPr="002235F2">
        <w:rPr>
          <w:rFonts w:ascii="Arial" w:eastAsia="Times New Roman" w:hAnsi="Arial" w:cs="Arial"/>
          <w:bCs/>
          <w:sz w:val="20"/>
          <w:szCs w:val="20"/>
          <w:lang w:eastAsia="en-GB"/>
        </w:rPr>
        <w:t>Source : MOPAC Hate Crime Dashboard</w:t>
      </w:r>
    </w:p>
    <w:p w:rsidR="006A31AE" w:rsidRDefault="006A31AE" w:rsidP="00D319D8">
      <w:pPr>
        <w:spacing w:after="0" w:line="240" w:lineRule="auto"/>
        <w:rPr>
          <w:rFonts w:ascii="Arial" w:eastAsia="Times New Roman" w:hAnsi="Arial" w:cs="Arial"/>
          <w:bCs/>
          <w:sz w:val="24"/>
          <w:szCs w:val="24"/>
          <w:lang w:eastAsia="en-GB"/>
        </w:rPr>
      </w:pPr>
    </w:p>
    <w:p w:rsidR="00BC319F" w:rsidRDefault="00BC319F" w:rsidP="00D319D8">
      <w:pPr>
        <w:spacing w:after="0" w:line="240" w:lineRule="auto"/>
        <w:rPr>
          <w:rFonts w:ascii="Arial" w:eastAsia="Times New Roman" w:hAnsi="Arial" w:cs="Arial"/>
          <w:bCs/>
          <w:sz w:val="24"/>
          <w:szCs w:val="24"/>
          <w:lang w:eastAsia="en-GB"/>
        </w:rPr>
      </w:pPr>
    </w:p>
    <w:p w:rsidR="00BC319F" w:rsidRDefault="00BC319F" w:rsidP="00D319D8">
      <w:pPr>
        <w:spacing w:after="0" w:line="240" w:lineRule="auto"/>
        <w:rPr>
          <w:rFonts w:ascii="Arial" w:eastAsia="Times New Roman" w:hAnsi="Arial" w:cs="Arial"/>
          <w:bCs/>
          <w:sz w:val="24"/>
          <w:szCs w:val="24"/>
          <w:lang w:eastAsia="en-GB"/>
        </w:rPr>
      </w:pPr>
    </w:p>
    <w:p w:rsidR="00BC319F" w:rsidRDefault="00BC319F" w:rsidP="00D319D8">
      <w:pPr>
        <w:spacing w:after="0" w:line="240" w:lineRule="auto"/>
        <w:rPr>
          <w:rFonts w:ascii="Arial" w:eastAsia="Times New Roman" w:hAnsi="Arial" w:cs="Arial"/>
          <w:bCs/>
          <w:sz w:val="24"/>
          <w:szCs w:val="24"/>
          <w:lang w:eastAsia="en-GB"/>
        </w:rPr>
      </w:pPr>
    </w:p>
    <w:p w:rsidR="002235F2" w:rsidRDefault="002235F2" w:rsidP="006A31AE">
      <w:pPr>
        <w:spacing w:after="0" w:line="240" w:lineRule="auto"/>
        <w:rPr>
          <w:rFonts w:ascii="Arial" w:eastAsia="Times New Roman" w:hAnsi="Arial" w:cs="Arial"/>
          <w:bCs/>
          <w:sz w:val="24"/>
          <w:szCs w:val="24"/>
          <w:lang w:eastAsia="en-GB"/>
        </w:rPr>
      </w:pPr>
    </w:p>
    <w:p w:rsidR="002235F2" w:rsidRDefault="002235F2" w:rsidP="006A31AE">
      <w:pPr>
        <w:spacing w:after="0" w:line="240" w:lineRule="auto"/>
        <w:rPr>
          <w:rFonts w:ascii="Arial" w:eastAsia="Times New Roman" w:hAnsi="Arial" w:cs="Arial"/>
          <w:bCs/>
          <w:sz w:val="24"/>
          <w:szCs w:val="24"/>
          <w:lang w:eastAsia="en-GB"/>
        </w:rPr>
      </w:pPr>
    </w:p>
    <w:p w:rsidR="00061F50" w:rsidRDefault="00061F50" w:rsidP="006A31AE">
      <w:pPr>
        <w:spacing w:after="0" w:line="240" w:lineRule="auto"/>
        <w:rPr>
          <w:rFonts w:ascii="Arial" w:eastAsia="Times New Roman" w:hAnsi="Arial" w:cs="Arial"/>
          <w:bCs/>
          <w:sz w:val="24"/>
          <w:szCs w:val="24"/>
          <w:lang w:eastAsia="en-GB"/>
        </w:rPr>
      </w:pPr>
    </w:p>
    <w:p w:rsidR="00802D4E" w:rsidRDefault="00802D4E" w:rsidP="006A31AE">
      <w:pPr>
        <w:spacing w:after="0" w:line="240" w:lineRule="auto"/>
        <w:rPr>
          <w:rFonts w:ascii="Arial" w:eastAsia="Times New Roman" w:hAnsi="Arial" w:cs="Arial"/>
          <w:bCs/>
          <w:sz w:val="24"/>
          <w:szCs w:val="24"/>
          <w:lang w:eastAsia="en-GB"/>
        </w:rPr>
      </w:pPr>
    </w:p>
    <w:p w:rsidR="002235F2" w:rsidRDefault="00333D16" w:rsidP="006A31AE">
      <w:pPr>
        <w:spacing w:after="0" w:line="240" w:lineRule="auto"/>
        <w:rPr>
          <w:rFonts w:ascii="Arial" w:eastAsia="Times New Roman" w:hAnsi="Arial" w:cs="Arial"/>
          <w:bCs/>
          <w:sz w:val="24"/>
          <w:szCs w:val="24"/>
          <w:lang w:eastAsia="en-GB"/>
        </w:rPr>
      </w:pPr>
      <w:r>
        <w:rPr>
          <w:rFonts w:ascii="Arial" w:eastAsia="Times New Roman" w:hAnsi="Arial" w:cs="Arial"/>
          <w:bCs/>
          <w:sz w:val="24"/>
          <w:szCs w:val="24"/>
          <w:lang w:eastAsia="en-GB"/>
        </w:rPr>
        <w:t>Figur</w:t>
      </w:r>
      <w:r w:rsidR="002235F2">
        <w:rPr>
          <w:rFonts w:ascii="Arial" w:eastAsia="Times New Roman" w:hAnsi="Arial" w:cs="Arial"/>
          <w:bCs/>
          <w:sz w:val="24"/>
          <w:szCs w:val="24"/>
          <w:lang w:eastAsia="en-GB"/>
        </w:rPr>
        <w:t>e 20 shows that Croydon has seen a reduction in the number of hate crimes aimed at its transgender population.</w:t>
      </w:r>
    </w:p>
    <w:p w:rsidR="00BC319F" w:rsidRPr="00670E7E" w:rsidRDefault="00BC319F" w:rsidP="006A31AE">
      <w:pPr>
        <w:spacing w:after="0" w:line="240" w:lineRule="auto"/>
        <w:rPr>
          <w:rFonts w:ascii="Arial" w:eastAsia="Times New Roman" w:hAnsi="Arial" w:cs="Arial"/>
          <w:bCs/>
          <w:sz w:val="24"/>
          <w:szCs w:val="24"/>
          <w:lang w:eastAsia="en-GB"/>
        </w:rPr>
      </w:pPr>
    </w:p>
    <w:p w:rsidR="00BC319F" w:rsidRPr="00670E7E" w:rsidRDefault="00BC319F" w:rsidP="00BC319F">
      <w:pPr>
        <w:spacing w:after="0" w:line="240" w:lineRule="auto"/>
        <w:rPr>
          <w:rFonts w:ascii="Arial" w:eastAsia="Times New Roman" w:hAnsi="Arial" w:cs="Arial"/>
          <w:bCs/>
          <w:sz w:val="24"/>
          <w:szCs w:val="24"/>
          <w:u w:val="single"/>
          <w:lang w:eastAsia="en-GB"/>
        </w:rPr>
      </w:pPr>
      <w:r w:rsidRPr="00670E7E">
        <w:rPr>
          <w:rFonts w:ascii="Arial" w:eastAsia="Times New Roman" w:hAnsi="Arial" w:cs="Arial"/>
          <w:bCs/>
          <w:sz w:val="24"/>
          <w:szCs w:val="24"/>
          <w:u w:val="single"/>
          <w:lang w:eastAsia="en-GB"/>
        </w:rPr>
        <w:t xml:space="preserve">Figure </w:t>
      </w:r>
      <w:r w:rsidR="008D3CFD">
        <w:rPr>
          <w:rFonts w:ascii="Arial" w:eastAsia="Times New Roman" w:hAnsi="Arial" w:cs="Arial"/>
          <w:bCs/>
          <w:sz w:val="24"/>
          <w:szCs w:val="24"/>
          <w:u w:val="single"/>
          <w:lang w:eastAsia="en-GB"/>
        </w:rPr>
        <w:t>20</w:t>
      </w:r>
      <w:r w:rsidRPr="00670E7E">
        <w:rPr>
          <w:rFonts w:ascii="Arial" w:eastAsia="Times New Roman" w:hAnsi="Arial" w:cs="Arial"/>
          <w:bCs/>
          <w:sz w:val="24"/>
          <w:szCs w:val="24"/>
          <w:u w:val="single"/>
          <w:lang w:eastAsia="en-GB"/>
        </w:rPr>
        <w:t xml:space="preserve"> </w:t>
      </w:r>
      <w:r>
        <w:rPr>
          <w:rFonts w:ascii="Arial" w:eastAsia="Times New Roman" w:hAnsi="Arial" w:cs="Arial"/>
          <w:bCs/>
          <w:sz w:val="24"/>
          <w:szCs w:val="24"/>
          <w:u w:val="single"/>
          <w:lang w:eastAsia="en-GB"/>
        </w:rPr>
        <w:t>–</w:t>
      </w:r>
      <w:r w:rsidRPr="00670E7E">
        <w:rPr>
          <w:rFonts w:ascii="Arial" w:eastAsia="Times New Roman" w:hAnsi="Arial" w:cs="Arial"/>
          <w:bCs/>
          <w:sz w:val="24"/>
          <w:szCs w:val="24"/>
          <w:u w:val="single"/>
          <w:lang w:eastAsia="en-GB"/>
        </w:rPr>
        <w:t xml:space="preserve"> </w:t>
      </w:r>
      <w:r>
        <w:rPr>
          <w:rFonts w:ascii="Arial" w:eastAsia="Times New Roman" w:hAnsi="Arial" w:cs="Arial"/>
          <w:bCs/>
          <w:sz w:val="24"/>
          <w:szCs w:val="24"/>
          <w:u w:val="single"/>
          <w:lang w:eastAsia="en-GB"/>
        </w:rPr>
        <w:t>Transgender h</w:t>
      </w:r>
      <w:r w:rsidRPr="00670E7E">
        <w:rPr>
          <w:rFonts w:ascii="Arial" w:eastAsia="Times New Roman" w:hAnsi="Arial" w:cs="Arial"/>
          <w:bCs/>
          <w:sz w:val="24"/>
          <w:szCs w:val="24"/>
          <w:u w:val="single"/>
          <w:lang w:eastAsia="en-GB"/>
        </w:rPr>
        <w:t>ate crime</w:t>
      </w:r>
    </w:p>
    <w:p w:rsidR="006A31AE" w:rsidRDefault="006A31AE" w:rsidP="006A31AE">
      <w:pPr>
        <w:spacing w:after="0" w:line="240" w:lineRule="auto"/>
        <w:rPr>
          <w:rFonts w:ascii="Arial" w:eastAsia="Times New Roman" w:hAnsi="Arial" w:cs="Arial"/>
          <w:bCs/>
          <w:sz w:val="24"/>
          <w:szCs w:val="24"/>
          <w:lang w:eastAsia="en-GB"/>
        </w:rPr>
      </w:pPr>
    </w:p>
    <w:p w:rsidR="007B5AAA" w:rsidRDefault="00162F88" w:rsidP="006A31AE">
      <w:pPr>
        <w:spacing w:after="0" w:line="240" w:lineRule="auto"/>
        <w:rPr>
          <w:rFonts w:ascii="Arial" w:eastAsia="Times New Roman" w:hAnsi="Arial" w:cs="Arial"/>
          <w:bCs/>
          <w:sz w:val="24"/>
          <w:szCs w:val="24"/>
          <w:lang w:eastAsia="en-GB"/>
        </w:rPr>
      </w:pPr>
      <w:r>
        <w:rPr>
          <w:noProof/>
          <w:lang w:eastAsia="en-GB"/>
        </w:rPr>
        <w:drawing>
          <wp:inline distT="0" distB="0" distL="0" distR="0" wp14:anchorId="2E4E0F49" wp14:editId="1CBAADFE">
            <wp:extent cx="4160520" cy="2087880"/>
            <wp:effectExtent l="0" t="0" r="11430" b="7620"/>
            <wp:docPr id="13936" name="Chart 139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3"/>
              </a:graphicData>
            </a:graphic>
          </wp:inline>
        </w:drawing>
      </w:r>
    </w:p>
    <w:p w:rsidR="00162F88" w:rsidRPr="000D5C6C" w:rsidRDefault="00162F88" w:rsidP="00162F88">
      <w:pPr>
        <w:spacing w:after="0" w:line="240" w:lineRule="auto"/>
        <w:rPr>
          <w:rFonts w:ascii="Arial" w:eastAsia="Times New Roman" w:hAnsi="Arial" w:cs="Arial"/>
          <w:bCs/>
          <w:sz w:val="20"/>
          <w:szCs w:val="20"/>
          <w:lang w:eastAsia="en-GB"/>
        </w:rPr>
      </w:pPr>
      <w:r w:rsidRPr="000D5C6C">
        <w:rPr>
          <w:rFonts w:ascii="Arial" w:eastAsia="Times New Roman" w:hAnsi="Arial" w:cs="Arial"/>
          <w:bCs/>
          <w:sz w:val="20"/>
          <w:szCs w:val="20"/>
          <w:lang w:eastAsia="en-GB"/>
        </w:rPr>
        <w:t>Source : MOPAC Hate Crime Dashboard</w:t>
      </w:r>
    </w:p>
    <w:p w:rsidR="008D3CFD" w:rsidRPr="002235F2" w:rsidRDefault="008D3CFD" w:rsidP="006A31AE">
      <w:pPr>
        <w:spacing w:after="0" w:line="240" w:lineRule="auto"/>
        <w:rPr>
          <w:rFonts w:ascii="Arial" w:eastAsia="Times New Roman" w:hAnsi="Arial" w:cs="Arial"/>
          <w:bCs/>
          <w:sz w:val="24"/>
          <w:szCs w:val="24"/>
          <w:lang w:eastAsia="en-GB"/>
        </w:rPr>
      </w:pPr>
    </w:p>
    <w:p w:rsidR="008D3CFD" w:rsidRPr="00670E7E" w:rsidRDefault="008D3CFD" w:rsidP="006A31AE">
      <w:pPr>
        <w:spacing w:after="0" w:line="240" w:lineRule="auto"/>
        <w:rPr>
          <w:rFonts w:ascii="Arial" w:eastAsia="Times New Roman" w:hAnsi="Arial" w:cs="Arial"/>
          <w:bCs/>
          <w:sz w:val="24"/>
          <w:szCs w:val="24"/>
          <w:lang w:eastAsia="en-GB"/>
        </w:rPr>
      </w:pPr>
    </w:p>
    <w:p w:rsidR="00061F50" w:rsidRDefault="00061F50"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Domestic abuse and sexual violence</w:t>
      </w:r>
    </w:p>
    <w:p w:rsidR="006A31AE" w:rsidRDefault="006A31AE" w:rsidP="006A31AE">
      <w:pPr>
        <w:spacing w:after="0" w:line="276" w:lineRule="auto"/>
        <w:rPr>
          <w:rFonts w:ascii="Arial" w:eastAsia="Calibri" w:hAnsi="Arial" w:cs="Arial"/>
          <w:sz w:val="24"/>
          <w:szCs w:val="24"/>
          <w:lang w:eastAsia="en-GB"/>
        </w:rPr>
      </w:pPr>
    </w:p>
    <w:p w:rsidR="007D76D6" w:rsidRPr="00CD14F5" w:rsidRDefault="007D76D6" w:rsidP="007D76D6">
      <w:pPr>
        <w:rPr>
          <w:rFonts w:ascii="Arial" w:hAnsi="Arial" w:cs="Arial"/>
          <w:sz w:val="24"/>
          <w:szCs w:val="24"/>
        </w:rPr>
      </w:pPr>
      <w:r w:rsidRPr="00CD14F5">
        <w:rPr>
          <w:rFonts w:ascii="Arial" w:hAnsi="Arial" w:cs="Arial"/>
          <w:sz w:val="24"/>
          <w:szCs w:val="24"/>
        </w:rPr>
        <w:t xml:space="preserve">The Domestic and Sexual Violence dashboard has been developed from the Mayor’s Violence Against Women and Girls Strategy.  It monitors the offences across London recorded by the Metropolitan Police Service.  </w:t>
      </w:r>
    </w:p>
    <w:p w:rsidR="00770B41" w:rsidRDefault="00770B41" w:rsidP="006A31AE">
      <w:pPr>
        <w:spacing w:after="0" w:line="276" w:lineRule="auto"/>
        <w:rPr>
          <w:rFonts w:ascii="Arial" w:eastAsia="Calibri" w:hAnsi="Arial" w:cs="Arial"/>
          <w:b/>
          <w:sz w:val="28"/>
          <w:szCs w:val="28"/>
          <w:lang w:eastAsia="en-GB"/>
        </w:rPr>
      </w:pPr>
    </w:p>
    <w:p w:rsidR="002F173F" w:rsidRDefault="002F173F" w:rsidP="006A31AE">
      <w:pPr>
        <w:spacing w:after="0" w:line="276" w:lineRule="auto"/>
        <w:rPr>
          <w:rFonts w:ascii="Arial" w:eastAsia="Calibri" w:hAnsi="Arial" w:cs="Arial"/>
          <w:b/>
          <w:sz w:val="28"/>
          <w:szCs w:val="28"/>
          <w:lang w:eastAsia="en-GB"/>
        </w:rPr>
      </w:pPr>
    </w:p>
    <w:p w:rsidR="002F173F" w:rsidRDefault="002F173F" w:rsidP="006A31AE">
      <w:pPr>
        <w:spacing w:after="0" w:line="276" w:lineRule="auto"/>
        <w:rPr>
          <w:rFonts w:ascii="Arial" w:eastAsia="Calibri" w:hAnsi="Arial" w:cs="Arial"/>
          <w:b/>
          <w:sz w:val="28"/>
          <w:szCs w:val="28"/>
          <w:lang w:eastAsia="en-GB"/>
        </w:rPr>
      </w:pPr>
    </w:p>
    <w:p w:rsidR="006A31AE" w:rsidRPr="00333D16" w:rsidRDefault="006A31AE" w:rsidP="00333D16">
      <w:pPr>
        <w:spacing w:after="0" w:line="240" w:lineRule="auto"/>
        <w:outlineLvl w:val="0"/>
        <w:rPr>
          <w:rFonts w:ascii="Arial" w:eastAsia="Times New Roman" w:hAnsi="Arial" w:cs="Arial"/>
          <w:b/>
          <w:bCs/>
          <w:color w:val="701471"/>
          <w:sz w:val="28"/>
          <w:szCs w:val="24"/>
          <w:lang w:eastAsia="en-GB"/>
        </w:rPr>
      </w:pPr>
      <w:r w:rsidRPr="00333D16">
        <w:rPr>
          <w:rFonts w:ascii="Arial" w:eastAsia="Times New Roman" w:hAnsi="Arial" w:cs="Arial"/>
          <w:b/>
          <w:bCs/>
          <w:color w:val="701471"/>
          <w:sz w:val="28"/>
          <w:szCs w:val="24"/>
          <w:lang w:eastAsia="en-GB"/>
        </w:rPr>
        <w:t>Domestic abuse</w:t>
      </w: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 xml:space="preserve">Croydon is in the top third of London councils for domestic abuse with a rate of 18 per 1,000 of population for the 12 months rolling to 30. September 2018.  Behind Barking and Dagenham, Greenwich, Tower Hamlets, Haringey, Hounslow, </w:t>
      </w:r>
    </w:p>
    <w:p w:rsidR="006A31AE" w:rsidRP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Newham, Hackney, Lewisham and Islington.</w:t>
      </w:r>
    </w:p>
    <w:p w:rsidR="006A31AE" w:rsidRPr="006A31AE" w:rsidRDefault="006A31AE"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Of the total victims of domestic abuse in Croydon, 76% were female. One in 3 (32%) of those subjected to domestic abuse were in the 25-34 year age band.  22% were in the 35-44 year band and 19% were in the 18-24 year band.</w:t>
      </w:r>
    </w:p>
    <w:p w:rsidR="006A31AE" w:rsidRPr="00670E7E" w:rsidRDefault="006A31AE" w:rsidP="006A31AE">
      <w:pPr>
        <w:spacing w:after="0" w:line="240" w:lineRule="auto"/>
        <w:rPr>
          <w:rFonts w:ascii="Arial" w:eastAsia="Times New Roman" w:hAnsi="Arial" w:cs="Arial"/>
          <w:bCs/>
          <w:sz w:val="24"/>
          <w:szCs w:val="24"/>
          <w:lang w:eastAsia="en-GB"/>
        </w:rPr>
      </w:pPr>
    </w:p>
    <w:p w:rsidR="006A31AE" w:rsidRPr="00670E7E" w:rsidRDefault="006A31AE" w:rsidP="006A31AE">
      <w:pPr>
        <w:spacing w:after="0" w:line="240" w:lineRule="auto"/>
        <w:rPr>
          <w:rFonts w:ascii="Arial" w:eastAsia="Times New Roman" w:hAnsi="Arial" w:cs="Arial"/>
          <w:bCs/>
          <w:sz w:val="24"/>
          <w:szCs w:val="24"/>
          <w:lang w:eastAsia="en-GB"/>
        </w:rPr>
      </w:pPr>
      <w:r w:rsidRPr="00670E7E">
        <w:rPr>
          <w:rFonts w:ascii="Arial" w:eastAsia="Times New Roman" w:hAnsi="Arial" w:cs="Arial"/>
          <w:bCs/>
          <w:sz w:val="24"/>
          <w:szCs w:val="24"/>
          <w:lang w:eastAsia="en-GB"/>
        </w:rPr>
        <w:t>Of the victims, 48% were from the White community, 30% were from the Black community, 10% were from the Asian community and 10% were of unknown ethnic origin.</w:t>
      </w:r>
    </w:p>
    <w:p w:rsidR="006A31AE" w:rsidRDefault="006A31AE" w:rsidP="006A31AE">
      <w:pPr>
        <w:spacing w:after="0" w:line="240" w:lineRule="auto"/>
        <w:rPr>
          <w:rFonts w:ascii="Arial" w:eastAsia="Times New Roman" w:hAnsi="Arial" w:cs="Arial"/>
          <w:bCs/>
          <w:sz w:val="24"/>
          <w:szCs w:val="24"/>
          <w:lang w:eastAsia="en-GB"/>
        </w:rPr>
      </w:pPr>
    </w:p>
    <w:p w:rsidR="002F173F" w:rsidRDefault="002F173F" w:rsidP="006A31AE">
      <w:pPr>
        <w:spacing w:after="0" w:line="240" w:lineRule="auto"/>
        <w:rPr>
          <w:rFonts w:ascii="Arial" w:eastAsia="Times New Roman" w:hAnsi="Arial" w:cs="Arial"/>
          <w:bCs/>
          <w:sz w:val="24"/>
          <w:szCs w:val="24"/>
          <w:lang w:eastAsia="en-GB"/>
        </w:rPr>
      </w:pPr>
    </w:p>
    <w:p w:rsidR="006A31AE" w:rsidRPr="007B5AAA" w:rsidRDefault="006A31AE" w:rsidP="006A31AE">
      <w:pPr>
        <w:spacing w:after="0" w:line="240" w:lineRule="auto"/>
        <w:rPr>
          <w:rFonts w:ascii="Arial" w:eastAsia="Times New Roman" w:hAnsi="Arial" w:cs="Arial"/>
          <w:bCs/>
          <w:sz w:val="24"/>
          <w:szCs w:val="24"/>
          <w:u w:val="single"/>
          <w:lang w:eastAsia="en-GB"/>
        </w:rPr>
      </w:pPr>
      <w:r w:rsidRPr="007B5AAA">
        <w:rPr>
          <w:rFonts w:ascii="Arial" w:eastAsia="Times New Roman" w:hAnsi="Arial" w:cs="Arial"/>
          <w:bCs/>
          <w:sz w:val="24"/>
          <w:szCs w:val="24"/>
          <w:u w:val="single"/>
          <w:lang w:eastAsia="en-GB"/>
        </w:rPr>
        <w:t xml:space="preserve">Table </w:t>
      </w:r>
      <w:r w:rsidR="007B5AAA" w:rsidRPr="007B5AAA">
        <w:rPr>
          <w:rFonts w:ascii="Arial" w:eastAsia="Times New Roman" w:hAnsi="Arial" w:cs="Arial"/>
          <w:bCs/>
          <w:sz w:val="24"/>
          <w:szCs w:val="24"/>
          <w:u w:val="single"/>
          <w:lang w:eastAsia="en-GB"/>
        </w:rPr>
        <w:t>1</w:t>
      </w:r>
      <w:r w:rsidRPr="007B5AAA">
        <w:rPr>
          <w:rFonts w:ascii="Arial" w:eastAsia="Times New Roman" w:hAnsi="Arial" w:cs="Arial"/>
          <w:bCs/>
          <w:sz w:val="24"/>
          <w:szCs w:val="24"/>
          <w:u w:val="single"/>
          <w:lang w:eastAsia="en-GB"/>
        </w:rPr>
        <w:t xml:space="preserve"> – Domestic Abuse - 12 months rolling to September 2018</w:t>
      </w:r>
    </w:p>
    <w:tbl>
      <w:tblPr>
        <w:tblW w:w="6379" w:type="dxa"/>
        <w:tblLook w:val="04A0" w:firstRow="1" w:lastRow="0" w:firstColumn="1" w:lastColumn="0" w:noHBand="0" w:noVBand="1"/>
      </w:tblPr>
      <w:tblGrid>
        <w:gridCol w:w="2871"/>
        <w:gridCol w:w="1150"/>
        <w:gridCol w:w="2358"/>
      </w:tblGrid>
      <w:tr w:rsidR="006A31AE" w:rsidRPr="006A31AE" w:rsidTr="002E7203">
        <w:trPr>
          <w:trHeight w:val="729"/>
        </w:trPr>
        <w:tc>
          <w:tcPr>
            <w:tcW w:w="2871" w:type="dxa"/>
            <w:tcBorders>
              <w:bottom w:val="single" w:sz="4" w:space="0" w:color="auto"/>
              <w:right w:val="single" w:sz="4" w:space="0" w:color="auto"/>
            </w:tcBorders>
            <w:shd w:val="clear" w:color="auto" w:fill="auto"/>
            <w:noWrap/>
            <w:vAlign w:val="bottom"/>
            <w:hideMark/>
          </w:tcPr>
          <w:p w:rsidR="006A31AE" w:rsidRPr="006A31AE" w:rsidRDefault="006A31AE" w:rsidP="006A31AE">
            <w:pPr>
              <w:spacing w:after="0" w:line="240" w:lineRule="auto"/>
              <w:rPr>
                <w:rFonts w:ascii="Arial" w:eastAsia="Times New Roman" w:hAnsi="Arial" w:cs="Arial"/>
                <w:color w:val="000000"/>
                <w:lang w:eastAsia="en-GB"/>
              </w:rPr>
            </w:pPr>
            <w:r w:rsidRPr="006A31AE">
              <w:rPr>
                <w:rFonts w:ascii="Arial" w:eastAsia="Times New Roman" w:hAnsi="Arial" w:cs="Arial"/>
                <w:color w:val="000000"/>
                <w:lang w:eastAsia="en-GB"/>
              </w:rPr>
              <w:t> </w:t>
            </w:r>
          </w:p>
        </w:tc>
        <w:tc>
          <w:tcPr>
            <w:tcW w:w="115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31AE" w:rsidRPr="006A31AE" w:rsidRDefault="006A31AE" w:rsidP="006A31AE">
            <w:pPr>
              <w:spacing w:after="0" w:line="240" w:lineRule="auto"/>
              <w:rPr>
                <w:rFonts w:ascii="Arial" w:eastAsia="Times New Roman" w:hAnsi="Arial" w:cs="Arial"/>
                <w:color w:val="000000"/>
                <w:lang w:eastAsia="en-GB"/>
              </w:rPr>
            </w:pPr>
            <w:r w:rsidRPr="006A31AE">
              <w:rPr>
                <w:rFonts w:ascii="Arial" w:eastAsia="Times New Roman" w:hAnsi="Arial" w:cs="Arial"/>
                <w:color w:val="000000"/>
                <w:lang w:eastAsia="en-GB"/>
              </w:rPr>
              <w:t>Number</w:t>
            </w:r>
          </w:p>
          <w:p w:rsidR="006A31AE" w:rsidRPr="006A31AE" w:rsidRDefault="006A31AE" w:rsidP="006A31AE">
            <w:pPr>
              <w:spacing w:after="0" w:line="240" w:lineRule="auto"/>
              <w:rPr>
                <w:rFonts w:ascii="Arial" w:eastAsia="Times New Roman" w:hAnsi="Arial" w:cs="Arial"/>
                <w:color w:val="000000"/>
                <w:lang w:eastAsia="en-GB"/>
              </w:rPr>
            </w:pPr>
          </w:p>
        </w:tc>
        <w:tc>
          <w:tcPr>
            <w:tcW w:w="2358" w:type="dxa"/>
            <w:tcBorders>
              <w:top w:val="single" w:sz="4" w:space="0" w:color="auto"/>
              <w:left w:val="nil"/>
              <w:bottom w:val="single" w:sz="4" w:space="0" w:color="auto"/>
              <w:right w:val="single" w:sz="4" w:space="0" w:color="auto"/>
            </w:tcBorders>
            <w:shd w:val="clear" w:color="auto" w:fill="auto"/>
            <w:noWrap/>
            <w:vAlign w:val="bottom"/>
            <w:hideMark/>
          </w:tcPr>
          <w:p w:rsidR="006A31AE" w:rsidRDefault="006A31AE" w:rsidP="006A31AE">
            <w:pPr>
              <w:spacing w:after="0" w:line="240" w:lineRule="auto"/>
              <w:rPr>
                <w:rFonts w:ascii="Arial" w:eastAsia="Times New Roman" w:hAnsi="Arial" w:cs="Arial"/>
                <w:color w:val="000000"/>
                <w:lang w:eastAsia="en-GB"/>
              </w:rPr>
            </w:pPr>
            <w:r w:rsidRPr="006A31AE">
              <w:rPr>
                <w:rFonts w:ascii="Arial" w:eastAsia="Times New Roman" w:hAnsi="Arial" w:cs="Arial"/>
                <w:color w:val="000000"/>
                <w:lang w:eastAsia="en-GB"/>
              </w:rPr>
              <w:t>Rate per 1,000 pop.</w:t>
            </w:r>
          </w:p>
          <w:p w:rsidR="002E7203" w:rsidRPr="006A31AE" w:rsidRDefault="002E7203" w:rsidP="006A31AE">
            <w:pPr>
              <w:spacing w:after="0" w:line="240" w:lineRule="auto"/>
              <w:rPr>
                <w:rFonts w:ascii="Arial" w:eastAsia="Times New Roman" w:hAnsi="Arial" w:cs="Arial"/>
                <w:color w:val="000000"/>
                <w:lang w:eastAsia="en-GB"/>
              </w:rPr>
            </w:pPr>
          </w:p>
        </w:tc>
      </w:tr>
      <w:tr w:rsidR="006A31AE" w:rsidRPr="006A31AE" w:rsidTr="002E7203">
        <w:trPr>
          <w:trHeight w:val="495"/>
        </w:trPr>
        <w:tc>
          <w:tcPr>
            <w:tcW w:w="287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31AE" w:rsidRPr="006A31AE" w:rsidRDefault="006A31AE" w:rsidP="006A31AE">
            <w:pPr>
              <w:spacing w:after="0" w:line="240" w:lineRule="auto"/>
              <w:rPr>
                <w:rFonts w:ascii="Arial" w:eastAsia="Times New Roman" w:hAnsi="Arial" w:cs="Arial"/>
                <w:color w:val="000000"/>
                <w:lang w:eastAsia="en-GB"/>
              </w:rPr>
            </w:pPr>
            <w:r w:rsidRPr="006A31AE">
              <w:rPr>
                <w:rFonts w:ascii="Arial" w:eastAsia="Times New Roman" w:hAnsi="Arial" w:cs="Arial"/>
                <w:color w:val="000000"/>
                <w:lang w:eastAsia="en-GB"/>
              </w:rPr>
              <w:t>Domestic Abuse Incidents</w:t>
            </w:r>
          </w:p>
          <w:p w:rsidR="006A31AE" w:rsidRPr="006A31AE" w:rsidRDefault="006A31AE" w:rsidP="006A31AE">
            <w:pPr>
              <w:spacing w:after="0" w:line="240" w:lineRule="auto"/>
              <w:rPr>
                <w:rFonts w:ascii="Arial" w:eastAsia="Times New Roman" w:hAnsi="Arial" w:cs="Arial"/>
                <w:color w:val="000000"/>
                <w:lang w:eastAsia="en-GB"/>
              </w:rPr>
            </w:pPr>
          </w:p>
        </w:tc>
        <w:tc>
          <w:tcPr>
            <w:tcW w:w="1150" w:type="dxa"/>
            <w:tcBorders>
              <w:top w:val="single" w:sz="4" w:space="0" w:color="auto"/>
              <w:left w:val="nil"/>
              <w:bottom w:val="single" w:sz="4" w:space="0" w:color="auto"/>
              <w:right w:val="single" w:sz="4" w:space="0" w:color="auto"/>
            </w:tcBorders>
            <w:shd w:val="clear" w:color="auto" w:fill="auto"/>
            <w:noWrap/>
            <w:vAlign w:val="bottom"/>
            <w:hideMark/>
          </w:tcPr>
          <w:p w:rsidR="006A31AE" w:rsidRPr="006A31AE" w:rsidRDefault="006A31AE" w:rsidP="006A31AE">
            <w:pPr>
              <w:spacing w:after="0" w:line="240" w:lineRule="auto"/>
              <w:rPr>
                <w:rFonts w:ascii="Arial" w:eastAsia="Times New Roman" w:hAnsi="Arial" w:cs="Arial"/>
                <w:color w:val="000000"/>
                <w:lang w:eastAsia="en-GB"/>
              </w:rPr>
            </w:pPr>
          </w:p>
          <w:p w:rsidR="006A31AE" w:rsidRDefault="00802D4E" w:rsidP="006A31AE">
            <w:pPr>
              <w:spacing w:after="0" w:line="240" w:lineRule="auto"/>
              <w:rPr>
                <w:rFonts w:ascii="Arial" w:eastAsia="Times New Roman" w:hAnsi="Arial" w:cs="Arial"/>
                <w:color w:val="000000"/>
                <w:lang w:eastAsia="en-GB"/>
              </w:rPr>
            </w:pPr>
            <w:r>
              <w:rPr>
                <w:rFonts w:ascii="Arial" w:eastAsia="Times New Roman" w:hAnsi="Arial" w:cs="Arial"/>
                <w:color w:val="000000"/>
                <w:lang w:eastAsia="en-GB"/>
              </w:rPr>
              <w:t>141,229</w:t>
            </w:r>
          </w:p>
          <w:p w:rsidR="00802D4E" w:rsidRPr="006A31AE" w:rsidRDefault="00802D4E" w:rsidP="006A31AE">
            <w:pPr>
              <w:spacing w:after="0" w:line="240" w:lineRule="auto"/>
              <w:rPr>
                <w:rFonts w:ascii="Arial" w:eastAsia="Times New Roman" w:hAnsi="Arial" w:cs="Arial"/>
                <w:color w:val="000000"/>
                <w:lang w:eastAsia="en-GB"/>
              </w:rPr>
            </w:pPr>
          </w:p>
        </w:tc>
        <w:tc>
          <w:tcPr>
            <w:tcW w:w="2358" w:type="dxa"/>
            <w:tcBorders>
              <w:top w:val="single" w:sz="4" w:space="0" w:color="auto"/>
              <w:left w:val="nil"/>
              <w:bottom w:val="single" w:sz="4" w:space="0" w:color="auto"/>
              <w:right w:val="single" w:sz="4" w:space="0" w:color="auto"/>
            </w:tcBorders>
            <w:shd w:val="clear" w:color="auto" w:fill="auto"/>
            <w:noWrap/>
            <w:vAlign w:val="bottom"/>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18.0</w:t>
            </w:r>
          </w:p>
          <w:p w:rsidR="006A31AE" w:rsidRPr="006A31AE" w:rsidRDefault="006A31AE" w:rsidP="006A31AE">
            <w:pPr>
              <w:spacing w:after="0" w:line="240" w:lineRule="auto"/>
              <w:jc w:val="right"/>
              <w:rPr>
                <w:rFonts w:ascii="Arial" w:eastAsia="Times New Roman" w:hAnsi="Arial" w:cs="Arial"/>
                <w:color w:val="000000"/>
                <w:lang w:eastAsia="en-GB"/>
              </w:rPr>
            </w:pPr>
          </w:p>
        </w:tc>
      </w:tr>
    </w:tbl>
    <w:p w:rsidR="006A31AE" w:rsidRPr="008D3CFD" w:rsidRDefault="006A31AE" w:rsidP="006A31AE">
      <w:pPr>
        <w:spacing w:after="0" w:line="240" w:lineRule="auto"/>
        <w:rPr>
          <w:rFonts w:ascii="Arial" w:eastAsia="Times New Roman" w:hAnsi="Arial" w:cs="Arial"/>
          <w:bCs/>
          <w:sz w:val="20"/>
          <w:szCs w:val="20"/>
          <w:lang w:eastAsia="en-GB"/>
        </w:rPr>
      </w:pPr>
      <w:r w:rsidRPr="008D3CFD">
        <w:rPr>
          <w:rFonts w:ascii="Arial" w:eastAsia="Times New Roman" w:hAnsi="Arial" w:cs="Arial"/>
          <w:bCs/>
          <w:sz w:val="20"/>
          <w:szCs w:val="20"/>
          <w:lang w:eastAsia="en-GB"/>
        </w:rPr>
        <w:t>Source : MOPAC DV and Domestic and Sexual Violence Dashboard</w:t>
      </w:r>
    </w:p>
    <w:p w:rsidR="006A31AE" w:rsidRDefault="006A31AE" w:rsidP="006A31AE">
      <w:pPr>
        <w:spacing w:after="0" w:line="240" w:lineRule="auto"/>
        <w:rPr>
          <w:rFonts w:ascii="Arial" w:eastAsia="Times New Roman" w:hAnsi="Arial" w:cs="Arial"/>
          <w:bCs/>
          <w:sz w:val="24"/>
          <w:szCs w:val="24"/>
          <w:lang w:eastAsia="en-GB"/>
        </w:rPr>
      </w:pPr>
    </w:p>
    <w:p w:rsidR="00162F88" w:rsidRDefault="00162F88" w:rsidP="006A31AE">
      <w:pPr>
        <w:spacing w:after="0" w:line="240" w:lineRule="auto"/>
        <w:rPr>
          <w:rFonts w:ascii="Arial" w:eastAsia="Times New Roman" w:hAnsi="Arial" w:cs="Arial"/>
          <w:bCs/>
          <w:sz w:val="24"/>
          <w:szCs w:val="24"/>
          <w:lang w:eastAsia="en-GB"/>
        </w:rPr>
      </w:pPr>
    </w:p>
    <w:p w:rsidR="00434FAF" w:rsidRDefault="00434FAF" w:rsidP="006A31AE">
      <w:pPr>
        <w:spacing w:after="0" w:line="240" w:lineRule="auto"/>
        <w:rPr>
          <w:rFonts w:ascii="Arial" w:eastAsia="Times New Roman" w:hAnsi="Arial" w:cs="Arial"/>
          <w:bCs/>
          <w:sz w:val="24"/>
          <w:szCs w:val="24"/>
          <w:lang w:eastAsia="en-GB"/>
        </w:rPr>
      </w:pPr>
    </w:p>
    <w:p w:rsidR="00434FAF" w:rsidRDefault="00434FAF" w:rsidP="006A31AE">
      <w:pPr>
        <w:spacing w:after="0" w:line="240" w:lineRule="auto"/>
        <w:rPr>
          <w:rFonts w:ascii="Arial" w:eastAsia="Times New Roman" w:hAnsi="Arial" w:cs="Arial"/>
          <w:bCs/>
          <w:sz w:val="24"/>
          <w:szCs w:val="24"/>
          <w:lang w:eastAsia="en-GB"/>
        </w:rPr>
      </w:pPr>
    </w:p>
    <w:p w:rsidR="00434FAF" w:rsidRDefault="00434FAF" w:rsidP="006A31AE">
      <w:pPr>
        <w:spacing w:after="0" w:line="240" w:lineRule="auto"/>
        <w:rPr>
          <w:rFonts w:ascii="Arial" w:eastAsia="Times New Roman" w:hAnsi="Arial" w:cs="Arial"/>
          <w:bCs/>
          <w:sz w:val="24"/>
          <w:szCs w:val="24"/>
          <w:lang w:eastAsia="en-GB"/>
        </w:rPr>
      </w:pPr>
    </w:p>
    <w:p w:rsidR="00162F88" w:rsidRDefault="00162F88" w:rsidP="006A31AE">
      <w:pPr>
        <w:spacing w:after="0" w:line="240" w:lineRule="auto"/>
        <w:rPr>
          <w:rFonts w:ascii="Arial" w:eastAsia="Times New Roman" w:hAnsi="Arial" w:cs="Arial"/>
          <w:bCs/>
          <w:sz w:val="24"/>
          <w:szCs w:val="24"/>
          <w:lang w:eastAsia="en-GB"/>
        </w:rPr>
      </w:pPr>
    </w:p>
    <w:p w:rsidR="006A31AE" w:rsidRPr="00333D16" w:rsidRDefault="006A31AE" w:rsidP="00333D16">
      <w:pPr>
        <w:spacing w:after="0" w:line="240" w:lineRule="auto"/>
        <w:outlineLvl w:val="0"/>
        <w:rPr>
          <w:rFonts w:ascii="Arial" w:eastAsia="Times New Roman" w:hAnsi="Arial" w:cs="Arial"/>
          <w:b/>
          <w:bCs/>
          <w:color w:val="701471"/>
          <w:sz w:val="28"/>
          <w:szCs w:val="24"/>
          <w:lang w:eastAsia="en-GB"/>
        </w:rPr>
      </w:pPr>
      <w:r w:rsidRPr="00333D16">
        <w:rPr>
          <w:rFonts w:ascii="Arial" w:eastAsia="Times New Roman" w:hAnsi="Arial" w:cs="Arial"/>
          <w:b/>
          <w:bCs/>
          <w:color w:val="701471"/>
          <w:sz w:val="28"/>
          <w:szCs w:val="24"/>
          <w:lang w:eastAsia="en-GB"/>
        </w:rPr>
        <w:t>Sexual Violence</w:t>
      </w:r>
    </w:p>
    <w:p w:rsidR="006A31AE" w:rsidRPr="006A31AE" w:rsidRDefault="006A31AE"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 xml:space="preserve">The total number of Sexual violence crimes is made up of rape offences and other sexual offences. </w:t>
      </w:r>
    </w:p>
    <w:p w:rsidR="006A31AE" w:rsidRPr="006A31AE" w:rsidRDefault="006A31AE"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The latest figures show that there have been 422 sexual violence crimes reported in Croydon which equates to a rate of 1.1 per 1,000 of population.</w:t>
      </w:r>
    </w:p>
    <w:p w:rsidR="006A31AE" w:rsidRPr="006A31AE" w:rsidRDefault="006A31AE" w:rsidP="006A31AE">
      <w:pPr>
        <w:spacing w:after="0" w:line="240" w:lineRule="auto"/>
        <w:rPr>
          <w:rFonts w:ascii="Arial" w:eastAsia="Times New Roman" w:hAnsi="Arial" w:cs="Arial"/>
          <w:bCs/>
          <w:sz w:val="24"/>
          <w:szCs w:val="24"/>
          <w:lang w:eastAsia="en-GB"/>
        </w:rPr>
      </w:pPr>
    </w:p>
    <w:p w:rsidR="006A31AE" w:rsidRPr="007B5AAA" w:rsidRDefault="006A31AE" w:rsidP="006A31AE">
      <w:pPr>
        <w:spacing w:after="0" w:line="240" w:lineRule="auto"/>
        <w:rPr>
          <w:rFonts w:ascii="Arial" w:eastAsia="Times New Roman" w:hAnsi="Arial" w:cs="Arial"/>
          <w:bCs/>
          <w:sz w:val="24"/>
          <w:szCs w:val="24"/>
          <w:u w:val="single"/>
          <w:lang w:eastAsia="en-GB"/>
        </w:rPr>
      </w:pPr>
      <w:r w:rsidRPr="007B5AAA">
        <w:rPr>
          <w:rFonts w:ascii="Arial" w:eastAsia="Times New Roman" w:hAnsi="Arial" w:cs="Arial"/>
          <w:bCs/>
          <w:sz w:val="24"/>
          <w:szCs w:val="24"/>
          <w:u w:val="single"/>
          <w:lang w:eastAsia="en-GB"/>
        </w:rPr>
        <w:t xml:space="preserve">Table </w:t>
      </w:r>
      <w:r w:rsidR="007B5AAA" w:rsidRPr="007B5AAA">
        <w:rPr>
          <w:rFonts w:ascii="Arial" w:eastAsia="Times New Roman" w:hAnsi="Arial" w:cs="Arial"/>
          <w:bCs/>
          <w:sz w:val="24"/>
          <w:szCs w:val="24"/>
          <w:u w:val="single"/>
          <w:lang w:eastAsia="en-GB"/>
        </w:rPr>
        <w:t>2</w:t>
      </w:r>
      <w:r w:rsidRPr="007B5AAA">
        <w:rPr>
          <w:rFonts w:ascii="Arial" w:eastAsia="Times New Roman" w:hAnsi="Arial" w:cs="Arial"/>
          <w:bCs/>
          <w:sz w:val="24"/>
          <w:szCs w:val="24"/>
          <w:u w:val="single"/>
          <w:lang w:eastAsia="en-GB"/>
        </w:rPr>
        <w:t xml:space="preserve"> – Sexual Violence - 12 months rolling to September 2018</w:t>
      </w:r>
    </w:p>
    <w:tbl>
      <w:tblPr>
        <w:tblW w:w="6232" w:type="dxa"/>
        <w:tblLook w:val="04A0" w:firstRow="1" w:lastRow="0" w:firstColumn="1" w:lastColumn="0" w:noHBand="0" w:noVBand="1"/>
      </w:tblPr>
      <w:tblGrid>
        <w:gridCol w:w="2830"/>
        <w:gridCol w:w="1134"/>
        <w:gridCol w:w="2268"/>
      </w:tblGrid>
      <w:tr w:rsidR="006A31AE" w:rsidRPr="006A31AE" w:rsidTr="002E7203">
        <w:trPr>
          <w:trHeight w:val="276"/>
        </w:trPr>
        <w:tc>
          <w:tcPr>
            <w:tcW w:w="2830" w:type="dxa"/>
            <w:tcBorders>
              <w:bottom w:val="single" w:sz="4" w:space="0" w:color="auto"/>
              <w:right w:val="single" w:sz="4" w:space="0" w:color="auto"/>
            </w:tcBorders>
            <w:shd w:val="clear" w:color="auto" w:fill="auto"/>
            <w:noWrap/>
            <w:vAlign w:val="bottom"/>
            <w:hideMark/>
          </w:tcPr>
          <w:p w:rsidR="006A31AE" w:rsidRPr="006A31AE" w:rsidRDefault="006A31AE" w:rsidP="006A31AE">
            <w:pPr>
              <w:spacing w:after="0" w:line="240" w:lineRule="auto"/>
              <w:rPr>
                <w:rFonts w:ascii="Arial" w:eastAsia="Times New Roman" w:hAnsi="Arial" w:cs="Arial"/>
                <w:color w:val="000000"/>
                <w:lang w:eastAsia="en-GB"/>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Number</w:t>
            </w:r>
          </w:p>
          <w:p w:rsidR="006A31AE" w:rsidRPr="006A31AE" w:rsidRDefault="006A31AE" w:rsidP="006A31AE">
            <w:pPr>
              <w:spacing w:after="0" w:line="240" w:lineRule="auto"/>
              <w:jc w:val="right"/>
              <w:rPr>
                <w:rFonts w:ascii="Arial" w:eastAsia="Times New Roman" w:hAnsi="Arial" w:cs="Arial"/>
                <w:color w:val="000000"/>
                <w:lang w:eastAsia="en-GB"/>
              </w:rPr>
            </w:pP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6A31AE" w:rsidRDefault="006A31AE" w:rsidP="006A31AE">
            <w:pPr>
              <w:spacing w:after="0" w:line="240" w:lineRule="auto"/>
              <w:rPr>
                <w:rFonts w:ascii="Arial" w:eastAsia="Times New Roman" w:hAnsi="Arial" w:cs="Arial"/>
                <w:color w:val="000000"/>
                <w:lang w:eastAsia="en-GB"/>
              </w:rPr>
            </w:pPr>
            <w:r w:rsidRPr="006A31AE">
              <w:rPr>
                <w:rFonts w:ascii="Arial" w:eastAsia="Times New Roman" w:hAnsi="Arial" w:cs="Arial"/>
                <w:color w:val="000000"/>
                <w:lang w:eastAsia="en-GB"/>
              </w:rPr>
              <w:t>Rate per 1,000 pop.</w:t>
            </w:r>
          </w:p>
          <w:p w:rsidR="002E7203" w:rsidRPr="006A31AE" w:rsidRDefault="002E7203" w:rsidP="006A31AE">
            <w:pPr>
              <w:spacing w:after="0" w:line="240" w:lineRule="auto"/>
              <w:rPr>
                <w:rFonts w:ascii="Arial" w:eastAsia="Times New Roman" w:hAnsi="Arial" w:cs="Arial"/>
                <w:color w:val="000000"/>
                <w:lang w:eastAsia="en-GB"/>
              </w:rPr>
            </w:pPr>
          </w:p>
        </w:tc>
      </w:tr>
      <w:tr w:rsidR="006A31AE" w:rsidRPr="006A31AE" w:rsidTr="002E7203">
        <w:trPr>
          <w:trHeight w:val="276"/>
        </w:trPr>
        <w:tc>
          <w:tcPr>
            <w:tcW w:w="2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31AE" w:rsidRPr="006A31AE" w:rsidRDefault="006A31AE" w:rsidP="006A31AE">
            <w:pPr>
              <w:spacing w:after="0" w:line="240" w:lineRule="auto"/>
              <w:rPr>
                <w:rFonts w:ascii="Arial" w:eastAsia="Times New Roman" w:hAnsi="Arial" w:cs="Arial"/>
                <w:color w:val="000000"/>
                <w:lang w:eastAsia="en-GB"/>
              </w:rPr>
            </w:pPr>
            <w:r w:rsidRPr="006A31AE">
              <w:rPr>
                <w:rFonts w:ascii="Arial" w:eastAsia="Times New Roman" w:hAnsi="Arial" w:cs="Arial"/>
                <w:color w:val="000000"/>
                <w:lang w:eastAsia="en-GB"/>
              </w:rPr>
              <w:t>Rape Offences</w:t>
            </w:r>
          </w:p>
          <w:p w:rsidR="006A31AE" w:rsidRPr="006A31AE" w:rsidRDefault="006A31AE" w:rsidP="006A31AE">
            <w:pPr>
              <w:spacing w:after="0" w:line="240" w:lineRule="auto"/>
              <w:rPr>
                <w:rFonts w:ascii="Arial" w:eastAsia="Times New Roman" w:hAnsi="Arial" w:cs="Arial"/>
                <w:color w:val="000000"/>
                <w:lang w:eastAsia="en-GB"/>
              </w:rPr>
            </w:pP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422</w:t>
            </w:r>
          </w:p>
          <w:p w:rsidR="006A31AE" w:rsidRPr="006A31AE" w:rsidRDefault="006A31AE" w:rsidP="006A31AE">
            <w:pPr>
              <w:spacing w:after="0" w:line="240" w:lineRule="auto"/>
              <w:jc w:val="right"/>
              <w:rPr>
                <w:rFonts w:ascii="Arial" w:eastAsia="Times New Roman" w:hAnsi="Arial" w:cs="Arial"/>
                <w:color w:val="000000"/>
                <w:lang w:eastAsia="en-GB"/>
              </w:rPr>
            </w:pP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1.1</w:t>
            </w:r>
          </w:p>
          <w:p w:rsidR="006A31AE" w:rsidRPr="006A31AE" w:rsidRDefault="006A31AE" w:rsidP="006A31AE">
            <w:pPr>
              <w:spacing w:after="0" w:line="240" w:lineRule="auto"/>
              <w:jc w:val="right"/>
              <w:rPr>
                <w:rFonts w:ascii="Arial" w:eastAsia="Times New Roman" w:hAnsi="Arial" w:cs="Arial"/>
                <w:color w:val="000000"/>
                <w:lang w:eastAsia="en-GB"/>
              </w:rPr>
            </w:pPr>
          </w:p>
        </w:tc>
      </w:tr>
      <w:tr w:rsidR="006A31AE" w:rsidRPr="006A31AE" w:rsidTr="002E7203">
        <w:trPr>
          <w:trHeight w:val="276"/>
        </w:trPr>
        <w:tc>
          <w:tcPr>
            <w:tcW w:w="2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31AE" w:rsidRPr="006A31AE" w:rsidRDefault="006A31AE" w:rsidP="006A31AE">
            <w:pPr>
              <w:spacing w:after="0" w:line="240" w:lineRule="auto"/>
              <w:rPr>
                <w:rFonts w:ascii="Arial" w:eastAsia="Times New Roman" w:hAnsi="Arial" w:cs="Arial"/>
                <w:color w:val="000000"/>
                <w:lang w:eastAsia="en-GB"/>
              </w:rPr>
            </w:pPr>
            <w:r w:rsidRPr="006A31AE">
              <w:rPr>
                <w:rFonts w:ascii="Arial" w:eastAsia="Times New Roman" w:hAnsi="Arial" w:cs="Arial"/>
                <w:color w:val="000000"/>
                <w:lang w:eastAsia="en-GB"/>
              </w:rPr>
              <w:t>Other Sexual Offences</w:t>
            </w:r>
          </w:p>
          <w:p w:rsidR="006A31AE" w:rsidRPr="006A31AE" w:rsidRDefault="006A31AE" w:rsidP="006A31AE">
            <w:pPr>
              <w:spacing w:after="0" w:line="240" w:lineRule="auto"/>
              <w:rPr>
                <w:rFonts w:ascii="Arial" w:eastAsia="Times New Roman" w:hAnsi="Arial" w:cs="Arial"/>
                <w:color w:val="000000"/>
                <w:lang w:eastAsia="en-GB"/>
              </w:rPr>
            </w:pP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514</w:t>
            </w:r>
          </w:p>
          <w:p w:rsidR="006A31AE" w:rsidRPr="006A31AE" w:rsidRDefault="006A31AE" w:rsidP="006A31AE">
            <w:pPr>
              <w:spacing w:after="0" w:line="240" w:lineRule="auto"/>
              <w:jc w:val="right"/>
              <w:rPr>
                <w:rFonts w:ascii="Arial" w:eastAsia="Times New Roman" w:hAnsi="Arial" w:cs="Arial"/>
                <w:color w:val="000000"/>
                <w:lang w:eastAsia="en-GB"/>
              </w:rPr>
            </w:pP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1.3</w:t>
            </w:r>
          </w:p>
          <w:p w:rsidR="006A31AE" w:rsidRPr="006A31AE" w:rsidRDefault="006A31AE" w:rsidP="006A31AE">
            <w:pPr>
              <w:spacing w:after="0" w:line="240" w:lineRule="auto"/>
              <w:jc w:val="right"/>
              <w:rPr>
                <w:rFonts w:ascii="Arial" w:eastAsia="Times New Roman" w:hAnsi="Arial" w:cs="Arial"/>
                <w:color w:val="000000"/>
                <w:lang w:eastAsia="en-GB"/>
              </w:rPr>
            </w:pPr>
          </w:p>
        </w:tc>
      </w:tr>
      <w:tr w:rsidR="006A31AE" w:rsidRPr="006A31AE" w:rsidTr="002E7203">
        <w:trPr>
          <w:trHeight w:val="276"/>
        </w:trPr>
        <w:tc>
          <w:tcPr>
            <w:tcW w:w="2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A31AE" w:rsidRPr="006A31AE" w:rsidRDefault="006A31AE" w:rsidP="006A31AE">
            <w:pPr>
              <w:spacing w:after="0" w:line="240" w:lineRule="auto"/>
              <w:rPr>
                <w:rFonts w:ascii="Arial" w:eastAsia="Times New Roman" w:hAnsi="Arial" w:cs="Arial"/>
                <w:color w:val="000000"/>
                <w:lang w:eastAsia="en-GB"/>
              </w:rPr>
            </w:pPr>
            <w:r w:rsidRPr="006A31AE">
              <w:rPr>
                <w:rFonts w:ascii="Arial" w:eastAsia="Times New Roman" w:hAnsi="Arial" w:cs="Arial"/>
                <w:color w:val="000000"/>
                <w:lang w:eastAsia="en-GB"/>
              </w:rPr>
              <w:t>Total Sexual Offences</w:t>
            </w:r>
          </w:p>
          <w:p w:rsidR="006A31AE" w:rsidRPr="006A31AE" w:rsidRDefault="006A31AE" w:rsidP="006A31AE">
            <w:pPr>
              <w:spacing w:after="0" w:line="240" w:lineRule="auto"/>
              <w:rPr>
                <w:rFonts w:ascii="Arial" w:eastAsia="Times New Roman" w:hAnsi="Arial" w:cs="Arial"/>
                <w:color w:val="000000"/>
                <w:lang w:eastAsia="en-GB"/>
              </w:rPr>
            </w:pP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936</w:t>
            </w:r>
          </w:p>
          <w:p w:rsidR="006A31AE" w:rsidRPr="006A31AE" w:rsidRDefault="006A31AE" w:rsidP="006A31AE">
            <w:pPr>
              <w:spacing w:after="0" w:line="240" w:lineRule="auto"/>
              <w:jc w:val="right"/>
              <w:rPr>
                <w:rFonts w:ascii="Arial" w:eastAsia="Times New Roman" w:hAnsi="Arial" w:cs="Arial"/>
                <w:color w:val="000000"/>
                <w:lang w:eastAsia="en-GB"/>
              </w:rPr>
            </w:pP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6A31AE" w:rsidRPr="006A31AE" w:rsidRDefault="006A31AE" w:rsidP="006A31AE">
            <w:pPr>
              <w:spacing w:after="0" w:line="240" w:lineRule="auto"/>
              <w:jc w:val="right"/>
              <w:rPr>
                <w:rFonts w:ascii="Arial" w:eastAsia="Times New Roman" w:hAnsi="Arial" w:cs="Arial"/>
                <w:color w:val="000000"/>
                <w:lang w:eastAsia="en-GB"/>
              </w:rPr>
            </w:pPr>
            <w:r w:rsidRPr="006A31AE">
              <w:rPr>
                <w:rFonts w:ascii="Arial" w:eastAsia="Times New Roman" w:hAnsi="Arial" w:cs="Arial"/>
                <w:color w:val="000000"/>
                <w:lang w:eastAsia="en-GB"/>
              </w:rPr>
              <w:t>2.4</w:t>
            </w:r>
          </w:p>
          <w:p w:rsidR="006A31AE" w:rsidRPr="006A31AE" w:rsidRDefault="006A31AE" w:rsidP="006A31AE">
            <w:pPr>
              <w:spacing w:after="0" w:line="240" w:lineRule="auto"/>
              <w:jc w:val="right"/>
              <w:rPr>
                <w:rFonts w:ascii="Arial" w:eastAsia="Times New Roman" w:hAnsi="Arial" w:cs="Arial"/>
                <w:color w:val="000000"/>
                <w:lang w:eastAsia="en-GB"/>
              </w:rPr>
            </w:pPr>
          </w:p>
        </w:tc>
      </w:tr>
    </w:tbl>
    <w:p w:rsidR="006A31AE" w:rsidRPr="008D3CFD" w:rsidRDefault="006A31AE" w:rsidP="006A31AE">
      <w:pPr>
        <w:spacing w:after="0" w:line="240" w:lineRule="auto"/>
        <w:rPr>
          <w:rFonts w:ascii="Arial" w:eastAsia="Times New Roman" w:hAnsi="Arial" w:cs="Arial"/>
          <w:bCs/>
          <w:sz w:val="20"/>
          <w:szCs w:val="20"/>
          <w:lang w:eastAsia="en-GB"/>
        </w:rPr>
      </w:pPr>
      <w:r w:rsidRPr="008D3CFD">
        <w:rPr>
          <w:rFonts w:ascii="Arial" w:eastAsia="Times New Roman" w:hAnsi="Arial" w:cs="Arial"/>
          <w:bCs/>
          <w:sz w:val="20"/>
          <w:szCs w:val="20"/>
          <w:lang w:eastAsia="en-GB"/>
        </w:rPr>
        <w:t>Source : MOPAC DV and Domestic and Sexual Violence Dashboard</w:t>
      </w:r>
    </w:p>
    <w:p w:rsidR="006A31AE" w:rsidRPr="006A31AE" w:rsidRDefault="006A31AE"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Of the total victims of sexual offences in Croydon, 86% were female. Over half (53%) were aged under 24 years of age.</w:t>
      </w:r>
    </w:p>
    <w:p w:rsidR="006A31AE" w:rsidRP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Of the victims, 51% were from the White community, 24% were from the Black community, 8% were from the Asian community and 16% were of unknown ethnic origin.</w:t>
      </w:r>
    </w:p>
    <w:p w:rsidR="006A31AE" w:rsidRP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41% were victims of rape and 59%  were victims of other sexual offences.</w:t>
      </w:r>
    </w:p>
    <w:p w:rsidR="006A31AE" w:rsidRPr="00670E7E" w:rsidRDefault="006A31AE" w:rsidP="006A31AE">
      <w:pPr>
        <w:spacing w:after="0" w:line="240" w:lineRule="auto"/>
        <w:rPr>
          <w:rFonts w:ascii="Arial" w:eastAsia="Times New Roman" w:hAnsi="Arial" w:cs="Arial"/>
          <w:bCs/>
          <w:sz w:val="24"/>
          <w:szCs w:val="24"/>
          <w:lang w:eastAsia="en-GB"/>
        </w:rPr>
      </w:pPr>
    </w:p>
    <w:p w:rsidR="007D76D6" w:rsidRDefault="007D76D6"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bookmarkStart w:id="31" w:name="_Antisocial_behaviour"/>
      <w:bookmarkEnd w:id="31"/>
      <w:r w:rsidRPr="006A31AE">
        <w:rPr>
          <w:rFonts w:ascii="Arial" w:eastAsia="Times New Roman" w:hAnsi="Arial" w:cs="Arial"/>
          <w:b/>
          <w:bCs/>
          <w:color w:val="00B050"/>
          <w:sz w:val="28"/>
          <w:szCs w:val="24"/>
          <w:lang w:eastAsia="en-GB"/>
        </w:rPr>
        <w:lastRenderedPageBreak/>
        <w:t>Antisocial behaviour</w:t>
      </w:r>
    </w:p>
    <w:p w:rsidR="006A31AE" w:rsidRPr="006A31AE" w:rsidRDefault="006A31AE" w:rsidP="006A31AE">
      <w:pPr>
        <w:spacing w:after="0" w:line="240" w:lineRule="auto"/>
        <w:rPr>
          <w:rFonts w:ascii="Arial" w:eastAsia="Times New Roman" w:hAnsi="Arial" w:cs="Arial"/>
          <w:bCs/>
          <w:sz w:val="24"/>
          <w:szCs w:val="24"/>
          <w:lang w:eastAsia="en-GB"/>
        </w:rPr>
      </w:pPr>
    </w:p>
    <w:p w:rsid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Despite a recent fall in the number of antisocial behaviour (ASB) incidents recorded in Croydon, the number was still over 8,000 as at 31</w:t>
      </w:r>
      <w:r w:rsidR="00434FAF" w:rsidRPr="00434FAF">
        <w:rPr>
          <w:rFonts w:ascii="Arial" w:eastAsia="Times New Roman" w:hAnsi="Arial" w:cs="Arial"/>
          <w:bCs/>
          <w:sz w:val="24"/>
          <w:szCs w:val="24"/>
          <w:vertAlign w:val="superscript"/>
          <w:lang w:eastAsia="en-GB"/>
        </w:rPr>
        <w:t>st</w:t>
      </w:r>
      <w:r w:rsidR="00434FAF">
        <w:rPr>
          <w:rFonts w:ascii="Arial" w:eastAsia="Times New Roman" w:hAnsi="Arial" w:cs="Arial"/>
          <w:bCs/>
          <w:sz w:val="24"/>
          <w:szCs w:val="24"/>
          <w:lang w:eastAsia="en-GB"/>
        </w:rPr>
        <w:t xml:space="preserve"> </w:t>
      </w:r>
      <w:r w:rsidRPr="006A31AE">
        <w:rPr>
          <w:rFonts w:ascii="Arial" w:eastAsia="Times New Roman" w:hAnsi="Arial" w:cs="Arial"/>
          <w:bCs/>
          <w:sz w:val="24"/>
          <w:szCs w:val="24"/>
          <w:lang w:eastAsia="en-GB"/>
        </w:rPr>
        <w:t>March 2018.</w:t>
      </w:r>
    </w:p>
    <w:p w:rsidR="00434FAF" w:rsidRDefault="00434FAF"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The most common types of antisocial behaviour reported to the Police were rowdy or inconsiderate behaviour and malicious or nuisance communications. Communal area nuisance and harassment were the most common antisocial behaviour reported to the council.</w:t>
      </w:r>
      <w:r w:rsidRPr="006A31AE">
        <w:rPr>
          <w:rFonts w:ascii="Arial" w:eastAsia="Times New Roman" w:hAnsi="Arial" w:cs="Arial"/>
          <w:bCs/>
          <w:sz w:val="24"/>
          <w:szCs w:val="24"/>
          <w:vertAlign w:val="superscript"/>
          <w:lang w:eastAsia="en-GB"/>
        </w:rPr>
        <w:footnoteReference w:id="36"/>
      </w:r>
    </w:p>
    <w:p w:rsidR="006A31AE" w:rsidRDefault="006A31AE" w:rsidP="006A31AE">
      <w:pPr>
        <w:spacing w:after="0" w:line="240" w:lineRule="auto"/>
        <w:rPr>
          <w:rFonts w:ascii="Arial" w:eastAsia="Times New Roman" w:hAnsi="Arial" w:cs="Arial"/>
          <w:bCs/>
          <w:sz w:val="24"/>
          <w:szCs w:val="24"/>
          <w:u w:val="single"/>
          <w:lang w:eastAsia="en-GB"/>
        </w:rPr>
      </w:pPr>
    </w:p>
    <w:p w:rsidR="006A31AE" w:rsidRPr="007B5AAA" w:rsidRDefault="006A31AE" w:rsidP="006A31AE">
      <w:pPr>
        <w:spacing w:after="0" w:line="240" w:lineRule="auto"/>
        <w:rPr>
          <w:rFonts w:ascii="Arial" w:eastAsia="Times New Roman" w:hAnsi="Arial" w:cs="Arial"/>
          <w:bCs/>
          <w:sz w:val="24"/>
          <w:szCs w:val="24"/>
          <w:u w:val="single"/>
          <w:lang w:eastAsia="en-GB"/>
        </w:rPr>
      </w:pPr>
      <w:r w:rsidRPr="007B5AAA">
        <w:rPr>
          <w:rFonts w:ascii="Arial" w:eastAsia="Times New Roman" w:hAnsi="Arial" w:cs="Arial"/>
          <w:bCs/>
          <w:sz w:val="24"/>
          <w:szCs w:val="24"/>
          <w:u w:val="single"/>
          <w:lang w:eastAsia="en-GB"/>
        </w:rPr>
        <w:t xml:space="preserve">Figure </w:t>
      </w:r>
      <w:r w:rsidR="00683996">
        <w:rPr>
          <w:rFonts w:ascii="Arial" w:eastAsia="Times New Roman" w:hAnsi="Arial" w:cs="Arial"/>
          <w:bCs/>
          <w:sz w:val="24"/>
          <w:szCs w:val="24"/>
          <w:u w:val="single"/>
          <w:lang w:eastAsia="en-GB"/>
        </w:rPr>
        <w:t>21</w:t>
      </w:r>
      <w:r w:rsidR="007B5AAA">
        <w:rPr>
          <w:rFonts w:ascii="Arial" w:eastAsia="Times New Roman" w:hAnsi="Arial" w:cs="Arial"/>
          <w:bCs/>
          <w:sz w:val="24"/>
          <w:szCs w:val="24"/>
          <w:u w:val="single"/>
          <w:lang w:eastAsia="en-GB"/>
        </w:rPr>
        <w:t xml:space="preserve"> – Reported ASB in Croydon</w:t>
      </w:r>
    </w:p>
    <w:p w:rsidR="006A31AE" w:rsidRPr="006A31AE" w:rsidRDefault="006A31AE" w:rsidP="006A31AE">
      <w:pPr>
        <w:spacing w:after="0" w:line="240" w:lineRule="auto"/>
        <w:rPr>
          <w:rFonts w:ascii="Arial" w:eastAsia="Times New Roman" w:hAnsi="Arial" w:cs="Arial"/>
          <w:bCs/>
          <w:sz w:val="24"/>
          <w:szCs w:val="24"/>
          <w:lang w:eastAsia="en-GB"/>
        </w:rPr>
      </w:pPr>
    </w:p>
    <w:p w:rsidR="006A31AE" w:rsidRDefault="006A31AE" w:rsidP="006A31AE">
      <w:pPr>
        <w:spacing w:after="0" w:line="240" w:lineRule="auto"/>
        <w:rPr>
          <w:rFonts w:ascii="Arial" w:eastAsia="Times New Roman" w:hAnsi="Arial" w:cs="Arial"/>
          <w:bCs/>
          <w:sz w:val="24"/>
          <w:szCs w:val="24"/>
          <w:lang w:eastAsia="en-GB"/>
        </w:rPr>
      </w:pPr>
      <w:r w:rsidRPr="006A31AE">
        <w:rPr>
          <w:rFonts w:ascii="Arial" w:eastAsia="Calibri" w:hAnsi="Arial" w:cs="Arial"/>
          <w:noProof/>
          <w:sz w:val="24"/>
          <w:szCs w:val="24"/>
          <w:lang w:eastAsia="en-GB"/>
        </w:rPr>
        <w:drawing>
          <wp:inline distT="0" distB="0" distL="0" distR="0" wp14:anchorId="01112AEC" wp14:editId="53CCACAD">
            <wp:extent cx="4008120" cy="2179320"/>
            <wp:effectExtent l="0" t="0" r="11430" b="11430"/>
            <wp:docPr id="2061" name="Chart 20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rsidR="006A31AE" w:rsidRPr="002235F2" w:rsidRDefault="006A31AE" w:rsidP="006A31AE">
      <w:pPr>
        <w:spacing w:after="0" w:line="240" w:lineRule="auto"/>
        <w:rPr>
          <w:rFonts w:ascii="Arial" w:eastAsia="Times New Roman" w:hAnsi="Arial" w:cs="Arial"/>
          <w:bCs/>
          <w:sz w:val="20"/>
          <w:szCs w:val="20"/>
          <w:lang w:eastAsia="en-GB"/>
        </w:rPr>
      </w:pPr>
      <w:r w:rsidRPr="002235F2">
        <w:rPr>
          <w:rFonts w:ascii="Arial" w:eastAsia="Times New Roman" w:hAnsi="Arial" w:cs="Arial"/>
          <w:bCs/>
          <w:sz w:val="20"/>
          <w:szCs w:val="20"/>
          <w:lang w:eastAsia="en-GB"/>
        </w:rPr>
        <w:t>Source : Safer Croydon Partnership</w:t>
      </w:r>
    </w:p>
    <w:p w:rsidR="006A31AE" w:rsidRPr="006A31AE" w:rsidRDefault="006A31AE" w:rsidP="006A31AE">
      <w:pPr>
        <w:spacing w:after="0" w:line="240" w:lineRule="auto"/>
        <w:rPr>
          <w:rFonts w:ascii="Arial" w:eastAsia="Times New Roman" w:hAnsi="Arial" w:cs="Arial"/>
          <w:bCs/>
          <w:sz w:val="24"/>
          <w:szCs w:val="24"/>
          <w:lang w:eastAsia="en-GB"/>
        </w:rPr>
      </w:pPr>
    </w:p>
    <w:p w:rsidR="007D5923" w:rsidRDefault="007D5923" w:rsidP="006A31AE">
      <w:pPr>
        <w:spacing w:after="0" w:line="240" w:lineRule="auto"/>
        <w:outlineLvl w:val="1"/>
        <w:rPr>
          <w:rFonts w:ascii="Arial" w:eastAsia="Times New Roman" w:hAnsi="Arial" w:cs="Arial"/>
          <w:b/>
          <w:bCs/>
          <w:color w:val="00B050"/>
          <w:sz w:val="28"/>
          <w:szCs w:val="24"/>
          <w:lang w:eastAsia="en-GB"/>
        </w:rPr>
      </w:pPr>
      <w:bookmarkStart w:id="32" w:name="_Youth_Offending"/>
      <w:bookmarkEnd w:id="32"/>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Youth Offending</w:t>
      </w:r>
    </w:p>
    <w:p w:rsidR="006A31AE" w:rsidRPr="006A31AE" w:rsidRDefault="006A31AE" w:rsidP="006A31AE">
      <w:pPr>
        <w:spacing w:after="0" w:line="276" w:lineRule="auto"/>
        <w:rPr>
          <w:rFonts w:ascii="Arial" w:eastAsia="Calibri" w:hAnsi="Arial" w:cs="Arial"/>
          <w:sz w:val="24"/>
          <w:szCs w:val="24"/>
          <w:lang w:eastAsia="en-GB"/>
        </w:rPr>
      </w:pPr>
    </w:p>
    <w:p w:rsidR="006A31AE" w:rsidRPr="00770B41" w:rsidRDefault="006A31AE" w:rsidP="006A31AE">
      <w:pPr>
        <w:spacing w:after="200" w:line="276" w:lineRule="auto"/>
        <w:rPr>
          <w:rFonts w:ascii="Arial" w:eastAsia="Calibri" w:hAnsi="Arial" w:cs="Arial"/>
          <w:sz w:val="24"/>
          <w:szCs w:val="24"/>
          <w:lang w:eastAsia="en-GB"/>
        </w:rPr>
      </w:pPr>
      <w:r w:rsidRPr="00770B41">
        <w:rPr>
          <w:rFonts w:ascii="Arial" w:eastAsia="Calibri" w:hAnsi="Arial" w:cs="Arial"/>
          <w:sz w:val="24"/>
          <w:szCs w:val="24"/>
          <w:lang w:eastAsia="en-GB"/>
        </w:rPr>
        <w:t>In Croydon, there is a greater proportion of youth offenders, aged 10-17 years, who were from BAME backgrounds (62.5%).  This was slightly above the proportion of BAME offenders in London (61.5%).  The proportion for England and Wales was only 24.1% for the same period.</w:t>
      </w:r>
    </w:p>
    <w:p w:rsidR="006A31AE" w:rsidRPr="00683996" w:rsidRDefault="006A31AE" w:rsidP="006A31AE">
      <w:pPr>
        <w:spacing w:after="200" w:line="276" w:lineRule="auto"/>
        <w:rPr>
          <w:rFonts w:ascii="Arial" w:eastAsia="Calibri" w:hAnsi="Arial" w:cs="Arial"/>
          <w:sz w:val="24"/>
          <w:szCs w:val="24"/>
          <w:u w:val="single"/>
          <w:lang w:eastAsia="en-GB"/>
        </w:rPr>
      </w:pPr>
      <w:r w:rsidRPr="00683996">
        <w:rPr>
          <w:rFonts w:ascii="Arial" w:eastAsia="Calibri" w:hAnsi="Arial" w:cs="Arial"/>
          <w:sz w:val="24"/>
          <w:szCs w:val="24"/>
          <w:u w:val="single"/>
          <w:lang w:eastAsia="en-GB"/>
        </w:rPr>
        <w:t xml:space="preserve">Figure </w:t>
      </w:r>
      <w:r w:rsidR="00683996" w:rsidRPr="00683996">
        <w:rPr>
          <w:rFonts w:ascii="Arial" w:eastAsia="Calibri" w:hAnsi="Arial" w:cs="Arial"/>
          <w:sz w:val="24"/>
          <w:szCs w:val="24"/>
          <w:u w:val="single"/>
          <w:lang w:eastAsia="en-GB"/>
        </w:rPr>
        <w:t>22</w:t>
      </w:r>
      <w:r w:rsidRPr="00683996">
        <w:rPr>
          <w:rFonts w:ascii="Arial" w:eastAsia="Calibri" w:hAnsi="Arial" w:cs="Arial"/>
          <w:sz w:val="24"/>
          <w:szCs w:val="24"/>
          <w:u w:val="single"/>
          <w:lang w:eastAsia="en-GB"/>
        </w:rPr>
        <w:t xml:space="preserve"> - The percentage of children and young people in the youth justice system who received a youth caution or court conviction for the year ending March 2017</w:t>
      </w:r>
    </w:p>
    <w:p w:rsidR="006A31AE" w:rsidRDefault="006A31AE" w:rsidP="00162F88">
      <w:pPr>
        <w:spacing w:after="0" w:line="240" w:lineRule="auto"/>
        <w:rPr>
          <w:rFonts w:ascii="Arial" w:eastAsia="Calibri" w:hAnsi="Arial" w:cs="Arial"/>
          <w:sz w:val="24"/>
          <w:szCs w:val="24"/>
          <w:lang w:eastAsia="en-GB"/>
        </w:rPr>
      </w:pPr>
      <w:r w:rsidRPr="00770B41">
        <w:rPr>
          <w:rFonts w:ascii="Arial" w:eastAsia="Calibri" w:hAnsi="Arial" w:cs="Arial"/>
          <w:noProof/>
          <w:sz w:val="24"/>
          <w:szCs w:val="24"/>
          <w:lang w:eastAsia="en-GB"/>
        </w:rPr>
        <w:drawing>
          <wp:inline distT="0" distB="0" distL="0" distR="0" wp14:anchorId="78087F37" wp14:editId="79056557">
            <wp:extent cx="4236559" cy="2550160"/>
            <wp:effectExtent l="0" t="0" r="0" b="254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255496" cy="2561559"/>
                    </a:xfrm>
                    <a:prstGeom prst="rect">
                      <a:avLst/>
                    </a:prstGeom>
                    <a:noFill/>
                  </pic:spPr>
                </pic:pic>
              </a:graphicData>
            </a:graphic>
          </wp:inline>
        </w:drawing>
      </w:r>
    </w:p>
    <w:p w:rsidR="006A31AE" w:rsidRPr="002235F2" w:rsidRDefault="006A31AE" w:rsidP="006A31AE">
      <w:pPr>
        <w:spacing w:after="0" w:line="240" w:lineRule="auto"/>
        <w:rPr>
          <w:rFonts w:ascii="Arial" w:eastAsia="Times New Roman" w:hAnsi="Arial" w:cs="Arial"/>
          <w:bCs/>
          <w:sz w:val="20"/>
          <w:szCs w:val="20"/>
          <w:lang w:eastAsia="en-GB"/>
        </w:rPr>
      </w:pPr>
      <w:r w:rsidRPr="002235F2">
        <w:rPr>
          <w:rFonts w:ascii="Arial" w:eastAsia="Times New Roman" w:hAnsi="Arial" w:cs="Arial"/>
          <w:bCs/>
          <w:sz w:val="20"/>
          <w:szCs w:val="20"/>
          <w:lang w:eastAsia="en-GB"/>
        </w:rPr>
        <w:t>Source: Youth Justice Board</w:t>
      </w:r>
    </w:p>
    <w:p w:rsidR="006A31AE" w:rsidRPr="00FC32DA" w:rsidRDefault="006A31AE" w:rsidP="006A31AE">
      <w:pPr>
        <w:spacing w:after="0" w:line="240" w:lineRule="auto"/>
        <w:rPr>
          <w:rFonts w:ascii="Arial" w:eastAsia="Times New Roman" w:hAnsi="Arial" w:cs="Arial"/>
          <w:bCs/>
          <w:sz w:val="24"/>
          <w:szCs w:val="24"/>
          <w:lang w:eastAsia="en-GB"/>
        </w:rPr>
      </w:pPr>
    </w:p>
    <w:p w:rsidR="006A50E0" w:rsidRDefault="006A50E0" w:rsidP="006A31AE">
      <w:pPr>
        <w:spacing w:after="200" w:line="276" w:lineRule="auto"/>
        <w:rPr>
          <w:rFonts w:ascii="Arial" w:eastAsia="Calibri" w:hAnsi="Arial" w:cs="Arial"/>
          <w:sz w:val="24"/>
          <w:szCs w:val="24"/>
        </w:rPr>
      </w:pPr>
    </w:p>
    <w:p w:rsidR="006A31AE" w:rsidRPr="00770B41" w:rsidRDefault="006A31AE" w:rsidP="006A31AE">
      <w:pPr>
        <w:spacing w:after="200" w:line="276" w:lineRule="auto"/>
        <w:rPr>
          <w:rFonts w:ascii="Arial" w:eastAsia="Times New Roman" w:hAnsi="Arial" w:cs="Arial"/>
          <w:bCs/>
          <w:sz w:val="24"/>
          <w:szCs w:val="24"/>
          <w:lang w:eastAsia="en-GB"/>
        </w:rPr>
      </w:pPr>
      <w:r w:rsidRPr="00770B41">
        <w:rPr>
          <w:rFonts w:ascii="Arial" w:eastAsia="Calibri" w:hAnsi="Arial" w:cs="Arial"/>
          <w:sz w:val="24"/>
          <w:szCs w:val="24"/>
        </w:rPr>
        <w:t xml:space="preserve">There continues to be a disproportionately high percentage of young people from a Black or Black British background amongst the first time entrants in Croydon. </w:t>
      </w:r>
    </w:p>
    <w:p w:rsidR="006A31AE" w:rsidRPr="00770B41" w:rsidRDefault="006A31AE" w:rsidP="006A31AE">
      <w:pPr>
        <w:spacing w:after="0" w:line="240" w:lineRule="auto"/>
        <w:rPr>
          <w:rFonts w:ascii="Arial" w:eastAsia="Times New Roman" w:hAnsi="Arial" w:cs="Arial"/>
          <w:bCs/>
          <w:sz w:val="24"/>
          <w:szCs w:val="24"/>
          <w:lang w:eastAsia="en-GB"/>
        </w:rPr>
      </w:pPr>
      <w:r w:rsidRPr="00770B41">
        <w:rPr>
          <w:rFonts w:ascii="Arial" w:eastAsia="Times New Roman" w:hAnsi="Arial" w:cs="Arial"/>
          <w:bCs/>
          <w:sz w:val="24"/>
          <w:szCs w:val="24"/>
          <w:lang w:eastAsia="en-GB"/>
        </w:rPr>
        <w:t xml:space="preserve">The most common offences committed by first time entrants in Croydon are violence against the person, drug offences and theft and handling. </w:t>
      </w:r>
    </w:p>
    <w:p w:rsidR="006A31AE" w:rsidRPr="00770B41" w:rsidRDefault="006A31AE" w:rsidP="006A31AE">
      <w:pPr>
        <w:spacing w:after="0" w:line="240" w:lineRule="auto"/>
        <w:rPr>
          <w:rFonts w:ascii="Arial" w:eastAsia="Times New Roman" w:hAnsi="Arial" w:cs="Arial"/>
          <w:bCs/>
          <w:sz w:val="24"/>
          <w:szCs w:val="24"/>
          <w:lang w:eastAsia="en-GB"/>
        </w:rPr>
      </w:pPr>
    </w:p>
    <w:p w:rsidR="006A31AE" w:rsidRDefault="006A31AE" w:rsidP="006A31AE">
      <w:pPr>
        <w:spacing w:after="0" w:line="240" w:lineRule="auto"/>
        <w:rPr>
          <w:rFonts w:ascii="Arial" w:eastAsia="Times New Roman" w:hAnsi="Arial" w:cs="Arial"/>
          <w:bCs/>
          <w:sz w:val="24"/>
          <w:szCs w:val="24"/>
          <w:lang w:eastAsia="en-GB"/>
        </w:rPr>
      </w:pPr>
    </w:p>
    <w:p w:rsidR="00770B41" w:rsidRPr="006A31AE" w:rsidRDefault="00770B41"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bookmarkStart w:id="33" w:name="_Adult_Offending"/>
      <w:bookmarkEnd w:id="33"/>
      <w:r w:rsidRPr="006A31AE">
        <w:rPr>
          <w:rFonts w:ascii="Arial" w:eastAsia="Times New Roman" w:hAnsi="Arial" w:cs="Arial"/>
          <w:b/>
          <w:bCs/>
          <w:color w:val="00B050"/>
          <w:sz w:val="28"/>
          <w:szCs w:val="24"/>
          <w:lang w:eastAsia="en-GB"/>
        </w:rPr>
        <w:t>Adult and Juvenile Re-Offending</w:t>
      </w: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p>
    <w:p w:rsid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Over the past few years, there has been an increase in the number of offenders of both adult and juvenile age. Conversely, re-offending rates have been decreasing.  From 2012/2013 to 2015/2016 the proportion of adult offenders who reoffend has steadily been dropping from 30.2% to 26.6%.  This downward trend has been the same for juveniles with a change from 51.9% to 49.2% over the same period.</w:t>
      </w:r>
      <w:r w:rsidRPr="006A31AE">
        <w:rPr>
          <w:rFonts w:ascii="Arial" w:eastAsia="Calibri" w:hAnsi="Arial" w:cs="Arial"/>
          <w:sz w:val="24"/>
          <w:szCs w:val="24"/>
          <w:vertAlign w:val="superscript"/>
          <w:lang w:eastAsia="en-GB"/>
        </w:rPr>
        <w:footnoteReference w:id="37"/>
      </w:r>
    </w:p>
    <w:p w:rsidR="006A50E0" w:rsidRDefault="006A50E0" w:rsidP="006A31AE">
      <w:pPr>
        <w:spacing w:after="200" w:line="276" w:lineRule="auto"/>
        <w:rPr>
          <w:rFonts w:ascii="Arial" w:eastAsia="Calibri" w:hAnsi="Arial" w:cs="Arial"/>
          <w:sz w:val="24"/>
          <w:szCs w:val="24"/>
          <w:lang w:eastAsia="en-GB"/>
        </w:rPr>
      </w:pPr>
    </w:p>
    <w:p w:rsidR="00434FAF" w:rsidRDefault="00434FAF" w:rsidP="006A31AE">
      <w:pPr>
        <w:spacing w:after="200" w:line="276" w:lineRule="auto"/>
        <w:rPr>
          <w:rFonts w:ascii="Arial" w:eastAsia="Calibri" w:hAnsi="Arial" w:cs="Arial"/>
          <w:sz w:val="24"/>
          <w:szCs w:val="24"/>
          <w:lang w:eastAsia="en-GB"/>
        </w:rPr>
      </w:pPr>
    </w:p>
    <w:p w:rsidR="002235F2" w:rsidRPr="006A31AE" w:rsidRDefault="002235F2" w:rsidP="006A31AE">
      <w:pPr>
        <w:spacing w:after="200" w:line="276" w:lineRule="auto"/>
        <w:rPr>
          <w:rFonts w:ascii="Arial" w:eastAsia="Calibri" w:hAnsi="Arial" w:cs="Arial"/>
          <w:sz w:val="24"/>
          <w:szCs w:val="24"/>
          <w:lang w:eastAsia="en-GB"/>
        </w:rPr>
      </w:pPr>
    </w:p>
    <w:p w:rsidR="00895E3A" w:rsidRDefault="00895E3A" w:rsidP="006A31AE">
      <w:pPr>
        <w:spacing w:after="200" w:line="276" w:lineRule="auto"/>
        <w:rPr>
          <w:rFonts w:ascii="Arial" w:eastAsia="Calibri" w:hAnsi="Arial" w:cs="Arial"/>
          <w:sz w:val="24"/>
          <w:szCs w:val="24"/>
          <w:lang w:eastAsia="en-GB"/>
        </w:rPr>
        <w:sectPr w:rsidR="00895E3A" w:rsidSect="006A50E0">
          <w:headerReference w:type="default" r:id="rId196"/>
          <w:footerReference w:type="default" r:id="rId197"/>
          <w:pgSz w:w="16838" w:h="11906" w:orient="landscape"/>
          <w:pgMar w:top="1698" w:right="1440" w:bottom="709" w:left="1440" w:header="708" w:footer="708" w:gutter="0"/>
          <w:cols w:num="2" w:space="708"/>
          <w:docGrid w:linePitch="360"/>
        </w:sectPr>
      </w:pPr>
    </w:p>
    <w:p w:rsidR="006A31AE" w:rsidRPr="006A31AE" w:rsidRDefault="006A31AE" w:rsidP="006A31AE">
      <w:pPr>
        <w:spacing w:after="200" w:line="276" w:lineRule="auto"/>
        <w:rPr>
          <w:rFonts w:ascii="Arial" w:eastAsia="Times New Roman" w:hAnsi="Arial" w:cs="Arial"/>
          <w:b/>
          <w:bCs/>
          <w:color w:val="701471"/>
          <w:sz w:val="32"/>
          <w:szCs w:val="28"/>
          <w:lang w:eastAsia="en-GB"/>
        </w:rPr>
      </w:pPr>
    </w:p>
    <w:p w:rsidR="006A31AE" w:rsidRPr="006A31AE" w:rsidRDefault="006A31AE" w:rsidP="006A31AE">
      <w:pPr>
        <w:spacing w:after="0" w:line="240" w:lineRule="auto"/>
        <w:rPr>
          <w:rFonts w:ascii="Arial" w:eastAsia="Times New Roman" w:hAnsi="Arial" w:cs="Arial"/>
          <w:b/>
          <w:bCs/>
          <w:color w:val="701471"/>
          <w:sz w:val="32"/>
          <w:szCs w:val="28"/>
          <w:lang w:eastAsia="en-GB"/>
        </w:rPr>
      </w:pPr>
      <w:r w:rsidRPr="006A31AE">
        <w:rPr>
          <w:rFonts w:ascii="Arial" w:eastAsia="Times New Roman" w:hAnsi="Arial" w:cs="Arial"/>
          <w:b/>
          <w:bCs/>
          <w:noProof/>
          <w:color w:val="701471"/>
          <w:sz w:val="32"/>
          <w:szCs w:val="28"/>
          <w:lang w:eastAsia="en-GB"/>
        </w:rPr>
        <w:drawing>
          <wp:inline distT="0" distB="0" distL="0" distR="0" wp14:anchorId="5F0DA2AE" wp14:editId="2926D297">
            <wp:extent cx="666695" cy="626084"/>
            <wp:effectExtent l="19050" t="0" r="55" b="0"/>
            <wp:docPr id="4109" name="Picture 13"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72" cstate="print"/>
                    <a:stretch>
                      <a:fillRect/>
                    </a:stretch>
                  </pic:blipFill>
                  <pic:spPr>
                    <a:xfrm>
                      <a:off x="0" y="0"/>
                      <a:ext cx="666695" cy="626084"/>
                    </a:xfrm>
                    <a:prstGeom prst="rect">
                      <a:avLst/>
                    </a:prstGeom>
                  </pic:spPr>
                </pic:pic>
              </a:graphicData>
            </a:graphic>
          </wp:inline>
        </w:drawing>
      </w:r>
      <w:r w:rsidRPr="006A31AE">
        <w:rPr>
          <w:rFonts w:ascii="Arial" w:eastAsia="Times New Roman" w:hAnsi="Arial" w:cs="Arial"/>
          <w:b/>
          <w:bCs/>
          <w:color w:val="701471"/>
          <w:sz w:val="32"/>
          <w:szCs w:val="28"/>
          <w:lang w:eastAsia="en-GB"/>
        </w:rPr>
        <w:t xml:space="preserve"> </w:t>
      </w:r>
      <w:r w:rsidRPr="006A31AE">
        <w:rPr>
          <w:rFonts w:ascii="Arial" w:eastAsia="Times New Roman" w:hAnsi="Arial" w:cs="Arial"/>
          <w:b/>
          <w:bCs/>
          <w:color w:val="701471"/>
          <w:sz w:val="40"/>
          <w:szCs w:val="28"/>
          <w:lang w:eastAsia="en-GB"/>
        </w:rPr>
        <w:t>Environment and transport</w:t>
      </w:r>
    </w:p>
    <w:p w:rsidR="006A31AE" w:rsidRPr="006A31AE" w:rsidRDefault="006A31AE" w:rsidP="006A31AE">
      <w:pPr>
        <w:spacing w:after="0" w:line="240" w:lineRule="auto"/>
        <w:rPr>
          <w:rFonts w:ascii="Arial" w:eastAsia="Times New Roman" w:hAnsi="Arial" w:cs="Arial"/>
          <w:bCs/>
          <w:color w:val="701471"/>
          <w:sz w:val="28"/>
          <w:szCs w:val="28"/>
          <w:lang w:eastAsia="en-GB"/>
        </w:rPr>
      </w:pPr>
      <w:r w:rsidRPr="006A31AE">
        <w:rPr>
          <w:rFonts w:ascii="Arial" w:eastAsia="Times New Roman" w:hAnsi="Arial" w:cs="Arial"/>
          <w:bCs/>
          <w:noProof/>
          <w:color w:val="701471"/>
          <w:sz w:val="28"/>
          <w:szCs w:val="28"/>
          <w:lang w:eastAsia="en-GB"/>
        </w:rPr>
        <mc:AlternateContent>
          <mc:Choice Requires="wps">
            <w:drawing>
              <wp:anchor distT="0" distB="0" distL="114300" distR="114300" simplePos="0" relativeHeight="251740160" behindDoc="0" locked="0" layoutInCell="1" allowOverlap="1" wp14:anchorId="5169BB7A" wp14:editId="604A223E">
                <wp:simplePos x="0" y="0"/>
                <wp:positionH relativeFrom="column">
                  <wp:posOffset>-28575</wp:posOffset>
                </wp:positionH>
                <wp:positionV relativeFrom="paragraph">
                  <wp:posOffset>128270</wp:posOffset>
                </wp:positionV>
                <wp:extent cx="3975735" cy="4946015"/>
                <wp:effectExtent l="0" t="0" r="24765" b="2603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735" cy="4946015"/>
                        </a:xfrm>
                        <a:prstGeom prst="rect">
                          <a:avLst/>
                        </a:prstGeom>
                        <a:solidFill>
                          <a:srgbClr val="FFFFFF"/>
                        </a:solidFill>
                        <a:ln w="9525">
                          <a:solidFill>
                            <a:srgbClr val="000000"/>
                          </a:solidFill>
                          <a:miter lim="800000"/>
                          <a:headEnd/>
                          <a:tailEnd/>
                        </a:ln>
                      </wps:spPr>
                      <wps:txbx>
                        <w:txbxContent>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Areas of progress</w:t>
                            </w:r>
                          </w:p>
                          <w:p w:rsidR="00721450" w:rsidRPr="006C1B2B" w:rsidRDefault="00721450" w:rsidP="006A31AE">
                            <w:pPr>
                              <w:spacing w:after="0" w:line="240" w:lineRule="auto"/>
                              <w:rPr>
                                <w:rFonts w:eastAsia="Times New Roman"/>
                                <w:bCs/>
                                <w:color w:val="701471"/>
                                <w:sz w:val="28"/>
                                <w:szCs w:val="28"/>
                                <w:lang w:eastAsia="en-GB"/>
                              </w:rPr>
                            </w:pPr>
                          </w:p>
                          <w:p w:rsidR="00721450" w:rsidRDefault="00721450" w:rsidP="006A31AE">
                            <w:pPr>
                              <w:pStyle w:val="ListParagraph"/>
                              <w:numPr>
                                <w:ilvl w:val="0"/>
                                <w:numId w:val="1"/>
                              </w:numPr>
                              <w:spacing w:line="240" w:lineRule="auto"/>
                              <w:rPr>
                                <w:rFonts w:eastAsia="Times New Roman"/>
                                <w:bCs/>
                                <w:lang w:eastAsia="en-GB"/>
                              </w:rPr>
                            </w:pPr>
                            <w:r w:rsidRPr="00A12B47">
                              <w:rPr>
                                <w:rFonts w:eastAsia="Times New Roman"/>
                                <w:bCs/>
                                <w:lang w:eastAsia="en-GB"/>
                              </w:rPr>
                              <w:t>Carbon dioxide emissions continue to fall.</w:t>
                            </w:r>
                          </w:p>
                          <w:p w:rsidR="00721450" w:rsidRDefault="00721450" w:rsidP="006A31AE">
                            <w:pPr>
                              <w:pStyle w:val="ListParagraph"/>
                              <w:numPr>
                                <w:ilvl w:val="0"/>
                                <w:numId w:val="1"/>
                              </w:numPr>
                              <w:spacing w:after="0" w:line="240" w:lineRule="auto"/>
                              <w:rPr>
                                <w:rFonts w:eastAsia="Times New Roman"/>
                                <w:bCs/>
                                <w:lang w:eastAsia="en-GB"/>
                              </w:rPr>
                            </w:pPr>
                            <w:r w:rsidRPr="00A12B47">
                              <w:rPr>
                                <w:rFonts w:eastAsia="Times New Roman"/>
                                <w:bCs/>
                                <w:lang w:eastAsia="en-GB"/>
                              </w:rPr>
                              <w:t>Croydon has one of the highest rates for the reuse, recycling and composting of household waste in London.</w:t>
                            </w:r>
                          </w:p>
                          <w:p w:rsidR="00721450" w:rsidRPr="00D64239" w:rsidRDefault="00721450" w:rsidP="006A31AE">
                            <w:pPr>
                              <w:pStyle w:val="ListParagraph"/>
                              <w:numPr>
                                <w:ilvl w:val="0"/>
                                <w:numId w:val="1"/>
                              </w:numPr>
                            </w:pPr>
                            <w:r w:rsidRPr="00D64239">
                              <w:t>The number of road traffic collisions in Croydon has increased for the second year running.</w:t>
                            </w:r>
                          </w:p>
                          <w:p w:rsidR="00721450" w:rsidRDefault="00721450" w:rsidP="006A31AE">
                            <w:pPr>
                              <w:spacing w:after="0" w:line="240" w:lineRule="auto"/>
                              <w:rPr>
                                <w:rFonts w:eastAsia="Times New Roman"/>
                                <w:bCs/>
                                <w:color w:val="006600"/>
                                <w:sz w:val="28"/>
                                <w:szCs w:val="28"/>
                                <w:lang w:eastAsia="en-GB"/>
                              </w:rPr>
                            </w:pPr>
                          </w:p>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Challenges</w:t>
                            </w:r>
                          </w:p>
                          <w:p w:rsidR="00721450" w:rsidRDefault="00721450" w:rsidP="006A31AE">
                            <w:pPr>
                              <w:spacing w:after="0" w:line="240" w:lineRule="auto"/>
                              <w:rPr>
                                <w:rFonts w:eastAsia="Times New Roman"/>
                                <w:bCs/>
                                <w:color w:val="701471"/>
                                <w:sz w:val="28"/>
                                <w:szCs w:val="28"/>
                                <w:lang w:eastAsia="en-GB"/>
                              </w:rPr>
                            </w:pPr>
                          </w:p>
                          <w:p w:rsidR="00721450" w:rsidRPr="00D64239" w:rsidRDefault="00721450" w:rsidP="001356B1">
                            <w:pPr>
                              <w:pStyle w:val="ListParagraph"/>
                              <w:numPr>
                                <w:ilvl w:val="0"/>
                                <w:numId w:val="1"/>
                              </w:numPr>
                              <w:spacing w:after="0" w:line="240" w:lineRule="auto"/>
                            </w:pPr>
                            <w:r w:rsidRPr="00D64239">
                              <w:t>The number of road users killed or seriously injured (KSI) in Croydon has increased again.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169BB7A" id="_x0000_s1089" type="#_x0000_t202" style="position:absolute;margin-left:-2.25pt;margin-top:10.1pt;width:313.05pt;height:389.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">
                <v:textbox>
                  <w:txbxContent>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Areas of progress</w:t>
                      </w:r>
                    </w:p>
                    <w:p w:rsidR="00721450" w:rsidRPr="006C1B2B" w:rsidRDefault="00721450" w:rsidP="006A31AE">
                      <w:pPr>
                        <w:spacing w:after="0" w:line="240" w:lineRule="auto"/>
                        <w:rPr>
                          <w:rFonts w:eastAsia="Times New Roman"/>
                          <w:bCs/>
                          <w:color w:val="701471"/>
                          <w:sz w:val="28"/>
                          <w:szCs w:val="28"/>
                          <w:lang w:eastAsia="en-GB"/>
                        </w:rPr>
                      </w:pPr>
                    </w:p>
                    <w:p w:rsidR="00721450" w:rsidRDefault="00721450" w:rsidP="006A31AE">
                      <w:pPr>
                        <w:pStyle w:val="ListParagraph"/>
                        <w:numPr>
                          <w:ilvl w:val="0"/>
                          <w:numId w:val="1"/>
                        </w:numPr>
                        <w:spacing w:line="240" w:lineRule="auto"/>
                        <w:rPr>
                          <w:rFonts w:eastAsia="Times New Roman"/>
                          <w:bCs/>
                          <w:lang w:eastAsia="en-GB"/>
                        </w:rPr>
                      </w:pPr>
                      <w:r w:rsidRPr="00A12B47">
                        <w:rPr>
                          <w:rFonts w:eastAsia="Times New Roman"/>
                          <w:bCs/>
                          <w:lang w:eastAsia="en-GB"/>
                        </w:rPr>
                        <w:t>Carbon dioxide emissions continue to fall.</w:t>
                      </w:r>
                    </w:p>
                    <w:p w:rsidR="00721450" w:rsidRDefault="00721450" w:rsidP="006A31AE">
                      <w:pPr>
                        <w:pStyle w:val="ListParagraph"/>
                        <w:numPr>
                          <w:ilvl w:val="0"/>
                          <w:numId w:val="1"/>
                        </w:numPr>
                        <w:spacing w:after="0" w:line="240" w:lineRule="auto"/>
                        <w:rPr>
                          <w:rFonts w:eastAsia="Times New Roman"/>
                          <w:bCs/>
                          <w:lang w:eastAsia="en-GB"/>
                        </w:rPr>
                      </w:pPr>
                      <w:r w:rsidRPr="00A12B47">
                        <w:rPr>
                          <w:rFonts w:eastAsia="Times New Roman"/>
                          <w:bCs/>
                          <w:lang w:eastAsia="en-GB"/>
                        </w:rPr>
                        <w:t>Croydon has one of the highest rates for the reuse, recycling and composting of household waste in London.</w:t>
                      </w:r>
                    </w:p>
                    <w:p w:rsidR="00721450" w:rsidRPr="00D64239" w:rsidRDefault="00721450" w:rsidP="006A31AE">
                      <w:pPr>
                        <w:pStyle w:val="ListParagraph"/>
                        <w:numPr>
                          <w:ilvl w:val="0"/>
                          <w:numId w:val="1"/>
                        </w:numPr>
                      </w:pPr>
                      <w:r w:rsidRPr="00D64239">
                        <w:t>The number of road traffic collisions in Croydon has increased for the second year running.</w:t>
                      </w:r>
                    </w:p>
                    <w:p w:rsidR="00721450" w:rsidRDefault="00721450" w:rsidP="006A31AE">
                      <w:pPr>
                        <w:spacing w:after="0" w:line="240" w:lineRule="auto"/>
                        <w:rPr>
                          <w:rFonts w:eastAsia="Times New Roman"/>
                          <w:bCs/>
                          <w:color w:val="006600"/>
                          <w:sz w:val="28"/>
                          <w:szCs w:val="28"/>
                          <w:lang w:eastAsia="en-GB"/>
                        </w:rPr>
                      </w:pPr>
                    </w:p>
                    <w:p w:rsidR="00721450" w:rsidRDefault="00721450" w:rsidP="006A31AE">
                      <w:pPr>
                        <w:spacing w:after="0" w:line="240" w:lineRule="auto"/>
                        <w:rPr>
                          <w:rFonts w:eastAsia="Times New Roman"/>
                          <w:bCs/>
                          <w:color w:val="701471"/>
                          <w:sz w:val="28"/>
                          <w:szCs w:val="28"/>
                          <w:lang w:eastAsia="en-GB"/>
                        </w:rPr>
                      </w:pPr>
                      <w:r w:rsidRPr="006C1B2B">
                        <w:rPr>
                          <w:rFonts w:eastAsia="Times New Roman"/>
                          <w:bCs/>
                          <w:color w:val="701471"/>
                          <w:sz w:val="28"/>
                          <w:szCs w:val="28"/>
                          <w:lang w:eastAsia="en-GB"/>
                        </w:rPr>
                        <w:t>Challenges</w:t>
                      </w:r>
                    </w:p>
                    <w:p w:rsidR="00721450" w:rsidRDefault="00721450" w:rsidP="006A31AE">
                      <w:pPr>
                        <w:spacing w:after="0" w:line="240" w:lineRule="auto"/>
                        <w:rPr>
                          <w:rFonts w:eastAsia="Times New Roman"/>
                          <w:bCs/>
                          <w:color w:val="701471"/>
                          <w:sz w:val="28"/>
                          <w:szCs w:val="28"/>
                          <w:lang w:eastAsia="en-GB"/>
                        </w:rPr>
                      </w:pPr>
                    </w:p>
                    <w:p w:rsidR="00721450" w:rsidRPr="00D64239" w:rsidRDefault="00721450" w:rsidP="001356B1">
                      <w:pPr>
                        <w:pStyle w:val="ListParagraph"/>
                        <w:numPr>
                          <w:ilvl w:val="0"/>
                          <w:numId w:val="1"/>
                        </w:numPr>
                        <w:spacing w:after="0" w:line="240" w:lineRule="auto"/>
                      </w:pPr>
                      <w:r w:rsidRPr="00D64239">
                        <w:t>The number of road users killed or seriously injured (KSI) in Croydon has increased again.</w:t>
                      </w:r>
                    </w:p>
                  </w:txbxContent>
                </v:textbox>
              </v:shape>
            </w:pict>
          </mc:Fallback>
        </mc:AlternateContent>
      </w:r>
    </w:p>
    <w:p w:rsidR="006A31AE" w:rsidRPr="006A31AE" w:rsidRDefault="006A31AE" w:rsidP="006A31AE">
      <w:pPr>
        <w:spacing w:after="0" w:line="240" w:lineRule="auto"/>
        <w:rPr>
          <w:rFonts w:ascii="Arial" w:eastAsia="Times New Roman" w:hAnsi="Arial" w:cs="Arial"/>
          <w:bCs/>
          <w:color w:val="701471"/>
          <w:sz w:val="28"/>
          <w:szCs w:val="28"/>
          <w:lang w:eastAsia="en-GB"/>
        </w:rPr>
      </w:pPr>
    </w:p>
    <w:p w:rsidR="006A31AE" w:rsidRPr="006A31AE" w:rsidRDefault="006A31AE" w:rsidP="006A31AE">
      <w:pPr>
        <w:spacing w:after="0" w:line="240" w:lineRule="auto"/>
        <w:rPr>
          <w:rFonts w:ascii="Arial" w:eastAsia="Times New Roman" w:hAnsi="Arial" w:cs="Arial"/>
          <w:bCs/>
          <w:color w:val="006600"/>
          <w:sz w:val="28"/>
          <w:szCs w:val="28"/>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rPr>
          <w:rFonts w:ascii="Arial" w:eastAsia="Times New Roman" w:hAnsi="Arial" w:cs="Arial"/>
          <w:bCs/>
          <w:color w:val="000000"/>
          <w:sz w:val="24"/>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Overview</w:t>
      </w:r>
    </w:p>
    <w:p w:rsidR="006A31AE" w:rsidRPr="006A31AE" w:rsidRDefault="006A31AE"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rPr>
          <w:rFonts w:ascii="Arial" w:eastAsia="Times New Roman" w:hAnsi="Arial" w:cs="Arial"/>
          <w:bCs/>
          <w:sz w:val="24"/>
          <w:szCs w:val="24"/>
          <w:lang w:eastAsia="en-GB"/>
        </w:rPr>
      </w:pPr>
      <w:r w:rsidRPr="006A31AE">
        <w:rPr>
          <w:rFonts w:ascii="Arial" w:eastAsia="Times New Roman" w:hAnsi="Arial" w:cs="Arial"/>
          <w:bCs/>
          <w:sz w:val="24"/>
          <w:szCs w:val="24"/>
          <w:lang w:eastAsia="en-GB"/>
        </w:rPr>
        <w:t xml:space="preserve">This section looks at a range of issues relating to the environment and transport including waste and method of travel to work. </w:t>
      </w:r>
    </w:p>
    <w:p w:rsidR="006A31AE" w:rsidRPr="006A31AE"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Environment" w:history="1">
        <w:r w:rsidR="006A31AE" w:rsidRPr="006A31AE">
          <w:rPr>
            <w:rFonts w:ascii="Arial" w:eastAsia="Times New Roman" w:hAnsi="Arial" w:cs="Arial"/>
            <w:bCs/>
            <w:color w:val="0000FF"/>
            <w:sz w:val="24"/>
            <w:szCs w:val="24"/>
            <w:u w:val="single"/>
            <w:lang w:eastAsia="en-GB"/>
          </w:rPr>
          <w:t>Environment</w:t>
        </w:r>
      </w:hyperlink>
    </w:p>
    <w:p w:rsidR="006A31AE" w:rsidRPr="00190165" w:rsidRDefault="00E238E9" w:rsidP="006A31AE">
      <w:pPr>
        <w:numPr>
          <w:ilvl w:val="0"/>
          <w:numId w:val="5"/>
        </w:numPr>
        <w:spacing w:after="0" w:line="240" w:lineRule="auto"/>
        <w:contextualSpacing/>
        <w:rPr>
          <w:rFonts w:ascii="Arial" w:eastAsia="Times New Roman" w:hAnsi="Arial" w:cs="Arial"/>
          <w:bCs/>
          <w:sz w:val="24"/>
          <w:szCs w:val="24"/>
          <w:lang w:eastAsia="en-GB"/>
        </w:rPr>
      </w:pPr>
      <w:hyperlink w:anchor="_Transport" w:history="1">
        <w:r w:rsidR="006A31AE" w:rsidRPr="006A31AE">
          <w:rPr>
            <w:rFonts w:ascii="Arial" w:eastAsia="Calibri" w:hAnsi="Arial" w:cs="Arial"/>
            <w:color w:val="0000FF"/>
            <w:sz w:val="24"/>
            <w:szCs w:val="24"/>
            <w:u w:val="single"/>
          </w:rPr>
          <w:t>Transport</w:t>
        </w:r>
      </w:hyperlink>
    </w:p>
    <w:p w:rsidR="00190165" w:rsidRPr="006A31AE" w:rsidRDefault="00E238E9" w:rsidP="00190165">
      <w:pPr>
        <w:numPr>
          <w:ilvl w:val="0"/>
          <w:numId w:val="5"/>
        </w:numPr>
        <w:spacing w:after="0" w:line="240" w:lineRule="auto"/>
        <w:contextualSpacing/>
        <w:rPr>
          <w:rFonts w:ascii="Arial" w:eastAsia="Times New Roman" w:hAnsi="Arial" w:cs="Arial"/>
          <w:bCs/>
          <w:sz w:val="24"/>
          <w:szCs w:val="24"/>
          <w:lang w:eastAsia="en-GB"/>
        </w:rPr>
      </w:pPr>
      <w:hyperlink w:anchor="_Substance_Misuse" w:history="1">
        <w:r w:rsidR="00190165" w:rsidRPr="006A31AE">
          <w:rPr>
            <w:rFonts w:ascii="Arial" w:eastAsia="Times New Roman" w:hAnsi="Arial" w:cs="Arial"/>
            <w:bCs/>
            <w:color w:val="0000FF"/>
            <w:sz w:val="24"/>
            <w:szCs w:val="24"/>
            <w:u w:val="single"/>
            <w:lang w:eastAsia="en-GB"/>
          </w:rPr>
          <w:t>Substance Misuse</w:t>
        </w:r>
      </w:hyperlink>
    </w:p>
    <w:p w:rsidR="00190165" w:rsidRPr="006A31AE" w:rsidRDefault="00E238E9" w:rsidP="00190165">
      <w:pPr>
        <w:numPr>
          <w:ilvl w:val="0"/>
          <w:numId w:val="5"/>
        </w:numPr>
        <w:spacing w:after="0" w:line="240" w:lineRule="auto"/>
        <w:contextualSpacing/>
        <w:rPr>
          <w:rFonts w:ascii="Arial" w:eastAsia="Times New Roman" w:hAnsi="Arial" w:cs="Arial"/>
          <w:bCs/>
          <w:sz w:val="24"/>
          <w:szCs w:val="24"/>
          <w:lang w:eastAsia="en-GB"/>
        </w:rPr>
      </w:pPr>
      <w:hyperlink w:anchor="_Fire_Services" w:history="1">
        <w:r w:rsidR="00190165" w:rsidRPr="006A31AE">
          <w:rPr>
            <w:rFonts w:ascii="Arial" w:eastAsia="Times New Roman" w:hAnsi="Arial" w:cs="Arial"/>
            <w:bCs/>
            <w:color w:val="0000FF"/>
            <w:sz w:val="24"/>
            <w:szCs w:val="24"/>
            <w:u w:val="single"/>
            <w:lang w:eastAsia="en-GB"/>
          </w:rPr>
          <w:t>Fire Services</w:t>
        </w:r>
      </w:hyperlink>
    </w:p>
    <w:p w:rsidR="00190165" w:rsidRPr="006A31AE" w:rsidRDefault="00E238E9" w:rsidP="00190165">
      <w:pPr>
        <w:numPr>
          <w:ilvl w:val="0"/>
          <w:numId w:val="5"/>
        </w:numPr>
        <w:spacing w:after="0" w:line="240" w:lineRule="auto"/>
        <w:contextualSpacing/>
        <w:rPr>
          <w:rFonts w:ascii="Arial" w:eastAsia="Times New Roman" w:hAnsi="Arial" w:cs="Arial"/>
          <w:bCs/>
          <w:sz w:val="24"/>
          <w:szCs w:val="24"/>
          <w:lang w:eastAsia="en-GB"/>
        </w:rPr>
      </w:pPr>
      <w:hyperlink w:anchor="_Fly-tipping" w:history="1">
        <w:r w:rsidR="00190165" w:rsidRPr="006A31AE">
          <w:rPr>
            <w:rFonts w:ascii="Arial" w:eastAsia="Times New Roman" w:hAnsi="Arial" w:cs="Arial"/>
            <w:bCs/>
            <w:color w:val="0000FF"/>
            <w:sz w:val="24"/>
            <w:szCs w:val="24"/>
            <w:u w:val="single"/>
            <w:lang w:eastAsia="en-GB"/>
          </w:rPr>
          <w:t>Fly-tipping</w:t>
        </w:r>
      </w:hyperlink>
    </w:p>
    <w:p w:rsidR="006A31AE" w:rsidRPr="006A31AE" w:rsidRDefault="006A31AE" w:rsidP="006A31AE">
      <w:pPr>
        <w:spacing w:after="0" w:line="240" w:lineRule="auto"/>
        <w:rPr>
          <w:rFonts w:ascii="Arial" w:eastAsia="Times New Roman" w:hAnsi="Arial" w:cs="Arial"/>
          <w:bCs/>
          <w:sz w:val="24"/>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bookmarkStart w:id="34" w:name="_Environment"/>
      <w:bookmarkEnd w:id="34"/>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Environment</w:t>
      </w:r>
    </w:p>
    <w:p w:rsidR="006A31AE" w:rsidRPr="006A31AE" w:rsidRDefault="006A31AE" w:rsidP="006A31AE">
      <w:pPr>
        <w:spacing w:after="0" w:line="240" w:lineRule="auto"/>
        <w:outlineLvl w:val="1"/>
        <w:rPr>
          <w:rFonts w:ascii="Arial" w:eastAsia="Times New Roman" w:hAnsi="Arial" w:cs="Arial"/>
          <w:bCs/>
          <w:color w:val="006600"/>
          <w:sz w:val="28"/>
          <w:szCs w:val="24"/>
          <w:lang w:eastAsia="en-GB"/>
        </w:rPr>
      </w:pPr>
    </w:p>
    <w:p w:rsidR="006A31AE" w:rsidRPr="006A31AE" w:rsidRDefault="006A31AE" w:rsidP="006A31AE">
      <w:pPr>
        <w:spacing w:after="0" w:line="240" w:lineRule="auto"/>
        <w:outlineLvl w:val="1"/>
        <w:rPr>
          <w:rFonts w:ascii="Arial" w:eastAsia="Times New Roman" w:hAnsi="Arial" w:cs="Arial"/>
          <w:bCs/>
          <w:color w:val="00660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Waste</w:t>
      </w:r>
    </w:p>
    <w:p w:rsidR="006A31AE" w:rsidRPr="002235F2"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Croydon is average compared to the rest of the London authorities for the amount of household waste collected per person as shown in Figure 1. In Croydon 355.3 kg was collected per person in 2016/2017.</w:t>
      </w: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0" w:line="276" w:lineRule="auto"/>
        <w:rPr>
          <w:rFonts w:ascii="Arial" w:eastAsia="Calibri" w:hAnsi="Arial" w:cs="Arial"/>
          <w:sz w:val="24"/>
          <w:szCs w:val="24"/>
          <w:lang w:eastAsia="en-GB"/>
        </w:rPr>
      </w:pPr>
    </w:p>
    <w:p w:rsidR="006A31AE" w:rsidRPr="007B5AAA" w:rsidRDefault="006A31AE" w:rsidP="006A31AE">
      <w:pPr>
        <w:spacing w:after="0" w:line="276" w:lineRule="auto"/>
        <w:rPr>
          <w:rFonts w:ascii="Arial" w:eastAsia="Calibri" w:hAnsi="Arial" w:cs="Arial"/>
          <w:sz w:val="24"/>
          <w:szCs w:val="24"/>
          <w:u w:val="single"/>
          <w:lang w:eastAsia="en-GB"/>
        </w:rPr>
      </w:pPr>
      <w:r w:rsidRPr="007B5AAA">
        <w:rPr>
          <w:rFonts w:ascii="Arial" w:eastAsia="Calibri" w:hAnsi="Arial" w:cs="Arial"/>
          <w:sz w:val="24"/>
          <w:szCs w:val="24"/>
          <w:u w:val="single"/>
          <w:lang w:eastAsia="en-GB"/>
        </w:rPr>
        <w:t>Figure 1 – Collected household waste collected per person (kg) 2016/2017</w:t>
      </w:r>
    </w:p>
    <w:p w:rsidR="006A31AE" w:rsidRPr="006A31AE" w:rsidRDefault="006A31AE" w:rsidP="006A31AE">
      <w:pPr>
        <w:spacing w:after="0" w:line="276" w:lineRule="auto"/>
        <w:rPr>
          <w:rFonts w:ascii="Arial" w:eastAsia="Calibri" w:hAnsi="Arial" w:cs="Arial"/>
          <w:sz w:val="24"/>
          <w:szCs w:val="24"/>
          <w:lang w:eastAsia="en-GB"/>
        </w:rPr>
      </w:pPr>
    </w:p>
    <w:p w:rsidR="006A31AE" w:rsidRDefault="006A31AE" w:rsidP="002235F2">
      <w:pPr>
        <w:spacing w:after="0" w:line="240"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17108615" wp14:editId="6FF49A22">
            <wp:extent cx="3995057" cy="2634343"/>
            <wp:effectExtent l="0" t="0" r="5715" b="1397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rsidR="006A31AE" w:rsidRPr="002235F2" w:rsidRDefault="006A31AE" w:rsidP="00061F50">
      <w:pPr>
        <w:spacing w:before="120" w:after="0" w:line="240" w:lineRule="auto"/>
        <w:rPr>
          <w:rFonts w:ascii="Arial" w:eastAsia="Calibri" w:hAnsi="Arial" w:cs="Arial"/>
          <w:sz w:val="20"/>
          <w:szCs w:val="20"/>
          <w:lang w:eastAsia="en-GB"/>
        </w:rPr>
      </w:pPr>
      <w:r w:rsidRPr="002235F2">
        <w:rPr>
          <w:rFonts w:ascii="Arial" w:eastAsia="Calibri" w:hAnsi="Arial" w:cs="Arial"/>
          <w:sz w:val="20"/>
          <w:szCs w:val="20"/>
          <w:lang w:eastAsia="en-GB"/>
        </w:rPr>
        <w:t>Source: Defra, Table 3 - Local authority collected waste statistics, 2016/2017.</w:t>
      </w:r>
    </w:p>
    <w:p w:rsidR="006A31AE" w:rsidRPr="006A31AE" w:rsidRDefault="006A31AE" w:rsidP="006A31AE">
      <w:pPr>
        <w:spacing w:after="200" w:line="276" w:lineRule="auto"/>
        <w:rPr>
          <w:rFonts w:ascii="Arial" w:eastAsia="Calibri" w:hAnsi="Arial" w:cs="Arial"/>
          <w:sz w:val="20"/>
          <w:szCs w:val="20"/>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Croydon is in the top quarter of London boroughs for reuse, recycling and composting. In 2016/17, 38.6% of household waste was recycled in Croydon compared to the national average of 43.7% and the London average of 33.0%.</w:t>
      </w: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p>
    <w:p w:rsidR="00061F50" w:rsidRDefault="00061F50" w:rsidP="006A31AE">
      <w:pPr>
        <w:spacing w:after="200" w:line="276" w:lineRule="auto"/>
        <w:rPr>
          <w:rFonts w:ascii="Arial" w:eastAsia="Calibri" w:hAnsi="Arial" w:cs="Arial"/>
          <w:sz w:val="24"/>
          <w:szCs w:val="24"/>
          <w:u w:val="single"/>
          <w:lang w:eastAsia="en-GB"/>
        </w:rPr>
      </w:pPr>
    </w:p>
    <w:p w:rsidR="006A31AE" w:rsidRPr="007B5AAA" w:rsidRDefault="006A31AE" w:rsidP="006A31AE">
      <w:pPr>
        <w:spacing w:after="200" w:line="276" w:lineRule="auto"/>
        <w:rPr>
          <w:rFonts w:ascii="Arial" w:eastAsia="Calibri" w:hAnsi="Arial" w:cs="Arial"/>
          <w:sz w:val="24"/>
          <w:szCs w:val="24"/>
          <w:u w:val="single"/>
          <w:lang w:eastAsia="en-GB"/>
        </w:rPr>
      </w:pPr>
      <w:r w:rsidRPr="007B5AAA">
        <w:rPr>
          <w:rFonts w:ascii="Arial" w:eastAsia="Calibri" w:hAnsi="Arial" w:cs="Arial"/>
          <w:sz w:val="24"/>
          <w:szCs w:val="24"/>
          <w:u w:val="single"/>
          <w:lang w:eastAsia="en-GB"/>
        </w:rPr>
        <w:t>Figure 2 – Percentage of household waste sent for reuse, recycling or composting 2016/2017</w:t>
      </w:r>
    </w:p>
    <w:p w:rsidR="006A31AE" w:rsidRPr="006A31AE" w:rsidRDefault="006A31AE" w:rsidP="002235F2">
      <w:pPr>
        <w:spacing w:after="0" w:line="240"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15CA07A2" wp14:editId="0293A04E">
            <wp:extent cx="4244340" cy="2689860"/>
            <wp:effectExtent l="0" t="0" r="3810" b="1524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rsidR="006A31AE" w:rsidRPr="002235F2" w:rsidRDefault="006A31AE" w:rsidP="00061F50">
      <w:pPr>
        <w:spacing w:before="120" w:after="0" w:line="240" w:lineRule="auto"/>
        <w:rPr>
          <w:rFonts w:ascii="Arial" w:eastAsia="Calibri" w:hAnsi="Arial" w:cs="Arial"/>
          <w:sz w:val="20"/>
          <w:szCs w:val="20"/>
          <w:lang w:eastAsia="en-GB"/>
        </w:rPr>
      </w:pPr>
      <w:r w:rsidRPr="002235F2">
        <w:rPr>
          <w:rFonts w:ascii="Arial" w:eastAsia="Calibri" w:hAnsi="Arial" w:cs="Arial"/>
          <w:sz w:val="20"/>
          <w:szCs w:val="20"/>
          <w:lang w:eastAsia="en-GB"/>
        </w:rPr>
        <w:t>Source: Defra, Table 3 - Local authority collected waste statistics, 2016/2017.</w:t>
      </w:r>
    </w:p>
    <w:p w:rsid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However Croydon sent 53.8% of its municipal waste to landfill. This is much higher than the 15.9% national average. The national average is influenced by the higher incineration rates in other local authorities.</w:t>
      </w:r>
    </w:p>
    <w:p w:rsidR="006A31AE" w:rsidRDefault="006A31AE" w:rsidP="006A31AE">
      <w:pPr>
        <w:spacing w:after="0" w:line="240" w:lineRule="auto"/>
        <w:outlineLvl w:val="1"/>
        <w:rPr>
          <w:rFonts w:ascii="Arial" w:eastAsia="Times New Roman" w:hAnsi="Arial" w:cs="Arial"/>
          <w:bCs/>
          <w:sz w:val="28"/>
          <w:szCs w:val="24"/>
          <w:lang w:eastAsia="en-GB"/>
        </w:rPr>
      </w:pPr>
    </w:p>
    <w:p w:rsidR="002235F2" w:rsidRDefault="002235F2" w:rsidP="006A31AE">
      <w:pPr>
        <w:spacing w:after="0" w:line="240" w:lineRule="auto"/>
        <w:outlineLvl w:val="1"/>
        <w:rPr>
          <w:rFonts w:ascii="Arial" w:eastAsia="Times New Roman" w:hAnsi="Arial" w:cs="Arial"/>
          <w:bCs/>
          <w:sz w:val="28"/>
          <w:szCs w:val="24"/>
          <w:lang w:eastAsia="en-GB"/>
        </w:rPr>
      </w:pPr>
    </w:p>
    <w:p w:rsidR="002235F2" w:rsidRPr="006A31AE" w:rsidRDefault="002235F2" w:rsidP="006A31AE">
      <w:pPr>
        <w:spacing w:after="0" w:line="240" w:lineRule="auto"/>
        <w:outlineLvl w:val="1"/>
        <w:rPr>
          <w:rFonts w:ascii="Arial" w:eastAsia="Times New Roman" w:hAnsi="Arial" w:cs="Arial"/>
          <w:bCs/>
          <w:sz w:val="28"/>
          <w:szCs w:val="24"/>
          <w:lang w:eastAsia="en-GB"/>
        </w:rPr>
      </w:pPr>
    </w:p>
    <w:p w:rsidR="004327FC" w:rsidRDefault="004327FC"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Air quality</w:t>
      </w: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Carbon dioxide emissions in Croydon have fallen steadily from 5.2 tonnes per person in 2005 to just 2.9 tonnes per person in 2016.</w:t>
      </w:r>
    </w:p>
    <w:p w:rsidR="006A31AE" w:rsidRPr="006A31AE" w:rsidRDefault="006A31AE" w:rsidP="006A31AE">
      <w:pPr>
        <w:spacing w:after="200" w:line="276" w:lineRule="auto"/>
        <w:rPr>
          <w:rFonts w:ascii="Arial" w:eastAsia="Calibri" w:hAnsi="Arial" w:cs="Arial"/>
          <w:sz w:val="24"/>
          <w:szCs w:val="24"/>
        </w:rPr>
      </w:pPr>
      <w:r w:rsidRPr="006A31AE">
        <w:rPr>
          <w:rFonts w:ascii="Arial" w:eastAsia="Calibri" w:hAnsi="Arial" w:cs="Arial"/>
          <w:sz w:val="24"/>
          <w:szCs w:val="24"/>
        </w:rPr>
        <w:t>The amount of CO</w:t>
      </w:r>
      <w:r w:rsidRPr="006A31AE">
        <w:rPr>
          <w:rFonts w:ascii="Arial" w:eastAsia="Calibri" w:hAnsi="Arial" w:cs="Arial"/>
          <w:sz w:val="24"/>
          <w:szCs w:val="24"/>
          <w:vertAlign w:val="subscript"/>
        </w:rPr>
        <w:t xml:space="preserve">2 </w:t>
      </w:r>
      <w:r w:rsidRPr="006A31AE">
        <w:rPr>
          <w:rFonts w:ascii="Arial" w:eastAsia="Calibri" w:hAnsi="Arial" w:cs="Arial"/>
          <w:sz w:val="24"/>
          <w:szCs w:val="24"/>
        </w:rPr>
        <w:t>produced from domestic, industrial and commercial, and transport sources have all decreased slightly over the 2005 to 2016 period.</w:t>
      </w:r>
    </w:p>
    <w:p w:rsidR="006A31AE" w:rsidRPr="006A31AE" w:rsidRDefault="006A31AE" w:rsidP="006A31AE">
      <w:pPr>
        <w:autoSpaceDE w:val="0"/>
        <w:autoSpaceDN w:val="0"/>
        <w:adjustRightInd w:val="0"/>
        <w:spacing w:after="0" w:line="240" w:lineRule="auto"/>
        <w:rPr>
          <w:rFonts w:ascii="Arial" w:eastAsia="Calibri" w:hAnsi="Arial" w:cs="Arial"/>
          <w:sz w:val="24"/>
          <w:szCs w:val="24"/>
        </w:rPr>
      </w:pPr>
      <w:r w:rsidRPr="006A31AE">
        <w:rPr>
          <w:rFonts w:ascii="Arial" w:eastAsia="Calibri" w:hAnsi="Arial" w:cs="Arial"/>
          <w:sz w:val="24"/>
          <w:szCs w:val="24"/>
        </w:rPr>
        <w:t>This is part of a wider regional and national trend. In London emissions dropped from 6.3 tonnes per person in 2005 to 3.6 tonnes per person in 2016. Across England emissions fell from 8.7 to 5.4.</w:t>
      </w:r>
      <w:r w:rsidRPr="006A31AE">
        <w:rPr>
          <w:rFonts w:ascii="Arial" w:eastAsia="Calibri" w:hAnsi="Arial" w:cs="Arial"/>
          <w:sz w:val="24"/>
          <w:szCs w:val="24"/>
          <w:vertAlign w:val="superscript"/>
        </w:rPr>
        <w:footnoteReference w:id="38"/>
      </w:r>
      <w:r w:rsidRPr="006A31AE">
        <w:rPr>
          <w:rFonts w:ascii="Arial" w:eastAsia="Calibri" w:hAnsi="Arial" w:cs="Arial"/>
          <w:sz w:val="24"/>
          <w:szCs w:val="24"/>
        </w:rPr>
        <w:t xml:space="preserve">  The London Borough of Croydon Air Quality Action Plan, 2012-2017 predicts that the CO</w:t>
      </w:r>
      <w:r w:rsidRPr="006A31AE">
        <w:rPr>
          <w:rFonts w:ascii="Arial" w:eastAsia="Calibri" w:hAnsi="Arial" w:cs="Arial"/>
          <w:sz w:val="24"/>
          <w:szCs w:val="24"/>
          <w:vertAlign w:val="subscript"/>
        </w:rPr>
        <w:t xml:space="preserve">2 </w:t>
      </w:r>
      <w:r w:rsidRPr="006A31AE">
        <w:rPr>
          <w:rFonts w:ascii="Arial" w:eastAsia="Calibri" w:hAnsi="Arial" w:cs="Arial"/>
          <w:sz w:val="24"/>
          <w:szCs w:val="24"/>
        </w:rPr>
        <w:t>emissions will continue to drop beyond 2025.</w:t>
      </w:r>
    </w:p>
    <w:p w:rsidR="006A31AE" w:rsidRPr="006A31AE" w:rsidRDefault="006A31AE" w:rsidP="006A31AE">
      <w:pPr>
        <w:spacing w:after="0" w:line="240" w:lineRule="auto"/>
        <w:outlineLvl w:val="0"/>
        <w:rPr>
          <w:rFonts w:ascii="Arial" w:eastAsia="Calibri" w:hAnsi="Arial" w:cs="Arial"/>
          <w:b/>
          <w:sz w:val="24"/>
          <w:szCs w:val="24"/>
        </w:rPr>
      </w:pPr>
      <w:bookmarkStart w:id="35" w:name="_Transport"/>
      <w:bookmarkEnd w:id="35"/>
    </w:p>
    <w:p w:rsidR="006A31AE" w:rsidRDefault="006A31AE" w:rsidP="006A31AE">
      <w:pPr>
        <w:spacing w:after="0" w:line="240" w:lineRule="auto"/>
        <w:outlineLvl w:val="0"/>
        <w:rPr>
          <w:rFonts w:ascii="Arial" w:eastAsia="Calibri" w:hAnsi="Arial" w:cs="Arial"/>
          <w:b/>
          <w:sz w:val="24"/>
          <w:szCs w:val="24"/>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Transport</w:t>
      </w: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Travel to work</w:t>
      </w:r>
    </w:p>
    <w:p w:rsidR="006A31AE" w:rsidRPr="006A31AE" w:rsidRDefault="006A31AE" w:rsidP="006A31AE">
      <w:pPr>
        <w:spacing w:after="0" w:line="276" w:lineRule="auto"/>
        <w:rPr>
          <w:rFonts w:ascii="Arial" w:eastAsia="Calibri" w:hAnsi="Arial" w:cs="Arial"/>
          <w:sz w:val="16"/>
          <w:szCs w:val="16"/>
          <w:lang w:eastAsia="en-GB"/>
        </w:rPr>
      </w:pPr>
    </w:p>
    <w:p w:rsidR="004327FC" w:rsidRDefault="006A31AE" w:rsidP="006A31AE">
      <w:pPr>
        <w:spacing w:after="0" w:line="276" w:lineRule="auto"/>
        <w:rPr>
          <w:rFonts w:ascii="Arial" w:eastAsia="Calibri" w:hAnsi="Arial" w:cs="Arial"/>
          <w:sz w:val="24"/>
          <w:szCs w:val="24"/>
          <w:lang w:eastAsia="en-GB"/>
        </w:rPr>
      </w:pPr>
      <w:r w:rsidRPr="006A31AE">
        <w:rPr>
          <w:rFonts w:ascii="Arial" w:eastAsia="Calibri" w:hAnsi="Arial" w:cs="Arial"/>
          <w:sz w:val="24"/>
          <w:szCs w:val="24"/>
          <w:lang w:eastAsia="en-GB"/>
        </w:rPr>
        <w:t>According to the 2011 Census, Croydon is a net exporter of workers. 54.8% of the 88,300 people who were recorded as working in Croydon in 2011 also lived in Croydon. However, this cohort only accounted for 34.4% of the 140,600 Croydon</w:t>
      </w:r>
      <w:r w:rsidR="007B5AAA">
        <w:rPr>
          <w:rFonts w:ascii="Arial" w:eastAsia="Calibri" w:hAnsi="Arial" w:cs="Arial"/>
          <w:sz w:val="24"/>
          <w:szCs w:val="24"/>
          <w:lang w:eastAsia="en-GB"/>
        </w:rPr>
        <w:t xml:space="preserve"> </w:t>
      </w:r>
    </w:p>
    <w:p w:rsidR="004327FC" w:rsidRDefault="004327FC" w:rsidP="006A31AE">
      <w:pPr>
        <w:spacing w:after="0" w:line="276" w:lineRule="auto"/>
        <w:rPr>
          <w:rFonts w:ascii="Arial" w:eastAsia="Calibri" w:hAnsi="Arial" w:cs="Arial"/>
          <w:sz w:val="24"/>
          <w:szCs w:val="24"/>
          <w:lang w:eastAsia="en-GB"/>
        </w:rPr>
      </w:pPr>
    </w:p>
    <w:p w:rsidR="004327FC" w:rsidRDefault="004327FC" w:rsidP="006A31AE">
      <w:pPr>
        <w:spacing w:after="0" w:line="276" w:lineRule="auto"/>
        <w:rPr>
          <w:rFonts w:ascii="Arial" w:eastAsia="Calibri" w:hAnsi="Arial" w:cs="Arial"/>
          <w:sz w:val="24"/>
          <w:szCs w:val="24"/>
          <w:lang w:eastAsia="en-GB"/>
        </w:rPr>
      </w:pPr>
    </w:p>
    <w:p w:rsidR="007D5923" w:rsidRDefault="004327FC" w:rsidP="006A31AE">
      <w:pPr>
        <w:spacing w:after="0" w:line="276" w:lineRule="auto"/>
        <w:rPr>
          <w:rFonts w:ascii="Arial" w:eastAsia="Calibri" w:hAnsi="Arial" w:cs="Arial"/>
          <w:sz w:val="24"/>
          <w:szCs w:val="24"/>
          <w:lang w:eastAsia="en-GB"/>
        </w:rPr>
      </w:pPr>
      <w:r>
        <w:rPr>
          <w:rFonts w:ascii="Arial" w:eastAsia="Calibri" w:hAnsi="Arial" w:cs="Arial"/>
          <w:sz w:val="24"/>
          <w:szCs w:val="24"/>
          <w:lang w:eastAsia="en-GB"/>
        </w:rPr>
        <w:t>r</w:t>
      </w:r>
      <w:r w:rsidR="006A31AE" w:rsidRPr="006A31AE">
        <w:rPr>
          <w:rFonts w:ascii="Arial" w:eastAsia="Calibri" w:hAnsi="Arial" w:cs="Arial"/>
          <w:sz w:val="24"/>
          <w:szCs w:val="24"/>
          <w:lang w:eastAsia="en-GB"/>
        </w:rPr>
        <w:t xml:space="preserve">esidents whose place of work was recorded. The main methods of transport to work varied between those who lived </w:t>
      </w:r>
    </w:p>
    <w:p w:rsidR="007B5AAA" w:rsidRDefault="006A31AE" w:rsidP="006A31AE">
      <w:pPr>
        <w:spacing w:after="0" w:line="276" w:lineRule="auto"/>
        <w:rPr>
          <w:rFonts w:ascii="Arial" w:eastAsia="Calibri" w:hAnsi="Arial" w:cs="Arial"/>
          <w:sz w:val="24"/>
          <w:szCs w:val="24"/>
          <w:lang w:eastAsia="en-GB"/>
        </w:rPr>
      </w:pPr>
      <w:r w:rsidRPr="006A31AE">
        <w:rPr>
          <w:rFonts w:ascii="Arial" w:eastAsia="Calibri" w:hAnsi="Arial" w:cs="Arial"/>
          <w:sz w:val="24"/>
          <w:szCs w:val="24"/>
          <w:lang w:eastAsia="en-GB"/>
        </w:rPr>
        <w:t>and worked in Croydon : those who lived in Croydon but worked outside of the borough, and those who lived outside of the borough but worked in Croydon.</w:t>
      </w:r>
    </w:p>
    <w:p w:rsidR="007B5AAA" w:rsidRDefault="007B5AAA" w:rsidP="006A31AE">
      <w:pPr>
        <w:spacing w:after="0" w:line="276" w:lineRule="auto"/>
        <w:rPr>
          <w:rFonts w:ascii="Arial" w:eastAsia="Calibri" w:hAnsi="Arial" w:cs="Arial"/>
          <w:sz w:val="24"/>
          <w:szCs w:val="24"/>
          <w:lang w:eastAsia="en-GB"/>
        </w:rPr>
      </w:pPr>
    </w:p>
    <w:p w:rsidR="007B5AAA" w:rsidRDefault="007B5AAA" w:rsidP="007B5AAA">
      <w:pPr>
        <w:spacing w:after="200" w:line="276" w:lineRule="auto"/>
        <w:rPr>
          <w:rFonts w:ascii="Arial" w:eastAsia="Calibri" w:hAnsi="Arial" w:cs="Arial"/>
          <w:sz w:val="24"/>
          <w:szCs w:val="24"/>
          <w:lang w:eastAsia="en-GB"/>
        </w:rPr>
      </w:pPr>
      <w:r>
        <w:rPr>
          <w:rFonts w:ascii="Arial" w:eastAsia="Calibri" w:hAnsi="Arial" w:cs="Arial"/>
          <w:sz w:val="24"/>
          <w:szCs w:val="24"/>
          <w:lang w:eastAsia="en-GB"/>
        </w:rPr>
        <w:t>Most</w:t>
      </w:r>
      <w:r w:rsidRPr="006A31AE">
        <w:rPr>
          <w:rFonts w:ascii="Arial" w:eastAsia="Calibri" w:hAnsi="Arial" w:cs="Arial"/>
          <w:sz w:val="24"/>
          <w:szCs w:val="24"/>
          <w:lang w:eastAsia="en-GB"/>
        </w:rPr>
        <w:t xml:space="preserve"> of those people who worked in Croydon and also lived within the borough drove to work in a car or van, caught a bus, minibus or coach or walked to work</w:t>
      </w:r>
      <w:r>
        <w:rPr>
          <w:rFonts w:ascii="Arial" w:eastAsia="Calibri" w:hAnsi="Arial" w:cs="Arial"/>
          <w:sz w:val="24"/>
          <w:szCs w:val="24"/>
          <w:lang w:eastAsia="en-GB"/>
        </w:rPr>
        <w:t>, as Figure 3 shows.</w:t>
      </w:r>
    </w:p>
    <w:p w:rsidR="007B5AAA" w:rsidRPr="007B5AAA" w:rsidRDefault="009D7550" w:rsidP="007B5AAA">
      <w:pPr>
        <w:spacing w:after="200" w:line="276" w:lineRule="auto"/>
        <w:rPr>
          <w:rFonts w:ascii="Arial" w:eastAsia="Calibri" w:hAnsi="Arial" w:cs="Arial"/>
          <w:sz w:val="24"/>
          <w:szCs w:val="24"/>
          <w:u w:val="single"/>
          <w:lang w:eastAsia="en-GB"/>
        </w:rPr>
      </w:pPr>
      <w:r>
        <w:rPr>
          <w:rFonts w:ascii="Arial" w:eastAsia="Calibri" w:hAnsi="Arial" w:cs="Arial"/>
          <w:sz w:val="24"/>
          <w:szCs w:val="24"/>
          <w:lang w:eastAsia="en-GB"/>
        </w:rPr>
        <w:t>F</w:t>
      </w:r>
      <w:r w:rsidR="007B5AAA" w:rsidRPr="007B5AAA">
        <w:rPr>
          <w:rFonts w:ascii="Arial" w:eastAsia="Calibri" w:hAnsi="Arial" w:cs="Arial"/>
          <w:sz w:val="24"/>
          <w:szCs w:val="24"/>
          <w:u w:val="single"/>
          <w:lang w:eastAsia="en-GB"/>
        </w:rPr>
        <w:t>igure 3 – Method of travel to work for those who lived and worked in Croydon</w:t>
      </w:r>
    </w:p>
    <w:p w:rsid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74798AA1" wp14:editId="75C82877">
            <wp:extent cx="4366260" cy="2278742"/>
            <wp:effectExtent l="0" t="0" r="0" b="7620"/>
            <wp:docPr id="41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0" cstate="print"/>
                    <a:srcRect/>
                    <a:stretch>
                      <a:fillRect/>
                    </a:stretch>
                  </pic:blipFill>
                  <pic:spPr bwMode="auto">
                    <a:xfrm>
                      <a:off x="0" y="0"/>
                      <a:ext cx="4368171" cy="2279739"/>
                    </a:xfrm>
                    <a:prstGeom prst="rect">
                      <a:avLst/>
                    </a:prstGeom>
                    <a:noFill/>
                  </pic:spPr>
                </pic:pic>
              </a:graphicData>
            </a:graphic>
          </wp:inline>
        </w:drawing>
      </w:r>
      <w:r w:rsidRPr="002235F2">
        <w:rPr>
          <w:rFonts w:ascii="Arial" w:eastAsia="Calibri" w:hAnsi="Arial" w:cs="Arial"/>
          <w:sz w:val="20"/>
          <w:szCs w:val="20"/>
          <w:lang w:eastAsia="en-GB"/>
        </w:rPr>
        <w:t>Source: ONS 2011 Census Table WU03UK</w:t>
      </w:r>
    </w:p>
    <w:p w:rsidR="009D7550" w:rsidRDefault="009D7550"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method of travel to work for workers commuting in from outside of the borough was slightly different as can be seen from Figure 4. Nearly half of these workers drove to work in a car or van. Considerably more workers used trains to commute in and far fewer walked to work.</w:t>
      </w:r>
    </w:p>
    <w:p w:rsidR="006A31AE" w:rsidRPr="006A31AE" w:rsidRDefault="006A31AE" w:rsidP="006A31AE">
      <w:pPr>
        <w:spacing w:after="200" w:line="276" w:lineRule="auto"/>
        <w:rPr>
          <w:rFonts w:ascii="Arial" w:eastAsia="Calibri" w:hAnsi="Arial" w:cs="Arial"/>
          <w:sz w:val="24"/>
          <w:szCs w:val="24"/>
          <w:lang w:eastAsia="en-GB"/>
        </w:rPr>
      </w:pPr>
    </w:p>
    <w:p w:rsidR="006A31AE" w:rsidRPr="007B5AAA" w:rsidRDefault="006A31AE" w:rsidP="006A31AE">
      <w:pPr>
        <w:spacing w:after="200" w:line="276" w:lineRule="auto"/>
        <w:rPr>
          <w:rFonts w:ascii="Arial" w:eastAsia="Calibri" w:hAnsi="Arial" w:cs="Arial"/>
          <w:sz w:val="24"/>
          <w:szCs w:val="24"/>
          <w:u w:val="single"/>
          <w:lang w:eastAsia="en-GB"/>
        </w:rPr>
      </w:pPr>
      <w:r w:rsidRPr="007B5AAA">
        <w:rPr>
          <w:rFonts w:ascii="Arial" w:eastAsia="Calibri" w:hAnsi="Arial" w:cs="Arial"/>
          <w:sz w:val="24"/>
          <w:szCs w:val="24"/>
          <w:u w:val="single"/>
          <w:lang w:eastAsia="en-GB"/>
        </w:rPr>
        <w:t>Figure 4 – Method of travel to work for those who lived outside of the borough but worked in Croydon</w:t>
      </w:r>
    </w:p>
    <w:p w:rsidR="006A31AE" w:rsidRPr="006A31AE" w:rsidRDefault="006A31AE" w:rsidP="002235F2">
      <w:pPr>
        <w:spacing w:after="0" w:line="240"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1AC5563E" wp14:editId="1F8A497D">
            <wp:extent cx="4083787" cy="2278380"/>
            <wp:effectExtent l="0" t="0" r="0" b="7620"/>
            <wp:docPr id="41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1" cstate="print"/>
                    <a:srcRect/>
                    <a:stretch>
                      <a:fillRect/>
                    </a:stretch>
                  </pic:blipFill>
                  <pic:spPr bwMode="auto">
                    <a:xfrm>
                      <a:off x="0" y="0"/>
                      <a:ext cx="4085300" cy="2279224"/>
                    </a:xfrm>
                    <a:prstGeom prst="rect">
                      <a:avLst/>
                    </a:prstGeom>
                    <a:noFill/>
                  </pic:spPr>
                </pic:pic>
              </a:graphicData>
            </a:graphic>
          </wp:inline>
        </w:drawing>
      </w:r>
    </w:p>
    <w:p w:rsidR="006A31AE" w:rsidRPr="002235F2" w:rsidRDefault="006A31AE" w:rsidP="002235F2">
      <w:pPr>
        <w:spacing w:after="0" w:line="240" w:lineRule="auto"/>
        <w:rPr>
          <w:rFonts w:ascii="Arial" w:eastAsia="Calibri" w:hAnsi="Arial" w:cs="Arial"/>
          <w:sz w:val="20"/>
          <w:szCs w:val="20"/>
          <w:lang w:eastAsia="en-GB"/>
        </w:rPr>
      </w:pPr>
      <w:r w:rsidRPr="002235F2">
        <w:rPr>
          <w:rFonts w:ascii="Arial" w:eastAsia="Calibri" w:hAnsi="Arial" w:cs="Arial"/>
          <w:sz w:val="20"/>
          <w:szCs w:val="20"/>
          <w:lang w:eastAsia="en-GB"/>
        </w:rPr>
        <w:t>Source: ONS 2011 Census Table WU03UK</w:t>
      </w:r>
    </w:p>
    <w:p w:rsidR="009D7550" w:rsidRDefault="009D7550" w:rsidP="006A31AE">
      <w:pPr>
        <w:spacing w:after="200" w:line="276" w:lineRule="auto"/>
        <w:rPr>
          <w:rFonts w:ascii="Arial" w:eastAsia="Calibri" w:hAnsi="Arial" w:cs="Arial"/>
          <w:sz w:val="24"/>
          <w:szCs w:val="24"/>
          <w:lang w:eastAsia="en-GB"/>
        </w:rPr>
      </w:pPr>
    </w:p>
    <w:p w:rsidR="009D7550" w:rsidRDefault="009D7550" w:rsidP="006A31AE">
      <w:pPr>
        <w:spacing w:after="200" w:line="276" w:lineRule="auto"/>
        <w:rPr>
          <w:rFonts w:ascii="Arial" w:eastAsia="Calibri" w:hAnsi="Arial" w:cs="Arial"/>
          <w:sz w:val="24"/>
          <w:szCs w:val="24"/>
          <w:lang w:eastAsia="en-GB"/>
        </w:rPr>
      </w:pPr>
    </w:p>
    <w:p w:rsidR="009D7550" w:rsidRDefault="009D7550" w:rsidP="006A31AE">
      <w:pPr>
        <w:spacing w:after="200" w:line="276" w:lineRule="auto"/>
        <w:rPr>
          <w:rFonts w:ascii="Arial" w:eastAsia="Calibri" w:hAnsi="Arial" w:cs="Arial"/>
          <w:sz w:val="24"/>
          <w:szCs w:val="24"/>
          <w:lang w:eastAsia="en-GB"/>
        </w:rPr>
      </w:pPr>
    </w:p>
    <w:p w:rsidR="006705A8" w:rsidRDefault="006705A8"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Figure 5 shows the main areas of residence for Croydon workers who lived outside of the borough. These areas include other London boroughs as well as districts in Surrey and Sussex.</w:t>
      </w:r>
    </w:p>
    <w:p w:rsidR="006A31AE" w:rsidRPr="007B5AAA" w:rsidRDefault="006A31AE" w:rsidP="006A31AE">
      <w:pPr>
        <w:spacing w:after="200" w:line="276" w:lineRule="auto"/>
        <w:rPr>
          <w:rFonts w:ascii="Arial" w:eastAsia="Calibri" w:hAnsi="Arial" w:cs="Arial"/>
          <w:sz w:val="24"/>
          <w:szCs w:val="24"/>
          <w:u w:val="single"/>
          <w:lang w:eastAsia="en-GB"/>
        </w:rPr>
      </w:pPr>
      <w:r w:rsidRPr="007B5AAA">
        <w:rPr>
          <w:rFonts w:ascii="Arial" w:eastAsia="Calibri" w:hAnsi="Arial" w:cs="Arial"/>
          <w:sz w:val="24"/>
          <w:szCs w:val="24"/>
          <w:u w:val="single"/>
          <w:lang w:eastAsia="en-GB"/>
        </w:rPr>
        <w:t>Figure 5 – Main areas of residence for Croydon workers who lived outside of the borough</w:t>
      </w:r>
    </w:p>
    <w:p w:rsidR="006A31AE" w:rsidRPr="006A31AE" w:rsidRDefault="006A31AE" w:rsidP="002235F2">
      <w:pPr>
        <w:spacing w:after="0" w:line="240"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17320665" wp14:editId="752C1D31">
            <wp:extent cx="4277360" cy="3097379"/>
            <wp:effectExtent l="0" t="0" r="0" b="8255"/>
            <wp:docPr id="41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2" cstate="print"/>
                    <a:srcRect/>
                    <a:stretch>
                      <a:fillRect/>
                    </a:stretch>
                  </pic:blipFill>
                  <pic:spPr bwMode="auto">
                    <a:xfrm>
                      <a:off x="0" y="0"/>
                      <a:ext cx="4294422" cy="3109734"/>
                    </a:xfrm>
                    <a:prstGeom prst="rect">
                      <a:avLst/>
                    </a:prstGeom>
                    <a:noFill/>
                  </pic:spPr>
                </pic:pic>
              </a:graphicData>
            </a:graphic>
          </wp:inline>
        </w:drawing>
      </w:r>
    </w:p>
    <w:p w:rsidR="006A31AE" w:rsidRPr="002235F2" w:rsidRDefault="006A31AE" w:rsidP="006A31AE">
      <w:pPr>
        <w:spacing w:after="200" w:line="276" w:lineRule="auto"/>
        <w:rPr>
          <w:rFonts w:ascii="Arial" w:eastAsia="Calibri" w:hAnsi="Arial" w:cs="Arial"/>
          <w:sz w:val="20"/>
          <w:szCs w:val="20"/>
          <w:lang w:eastAsia="en-GB"/>
        </w:rPr>
      </w:pPr>
      <w:r w:rsidRPr="002235F2">
        <w:rPr>
          <w:rFonts w:ascii="Arial" w:eastAsia="Calibri" w:hAnsi="Arial" w:cs="Arial"/>
          <w:sz w:val="20"/>
          <w:szCs w:val="20"/>
          <w:lang w:eastAsia="en-GB"/>
        </w:rPr>
        <w:t>Source: ONS 2011 Census Table WU03UK</w:t>
      </w:r>
    </w:p>
    <w:p w:rsidR="009D7550" w:rsidRDefault="009D7550" w:rsidP="006A31AE">
      <w:pPr>
        <w:spacing w:after="200" w:line="276" w:lineRule="auto"/>
        <w:rPr>
          <w:rFonts w:ascii="Arial" w:eastAsia="Calibri" w:hAnsi="Arial" w:cs="Arial"/>
          <w:sz w:val="24"/>
          <w:szCs w:val="24"/>
          <w:lang w:eastAsia="en-GB"/>
        </w:rPr>
      </w:pPr>
    </w:p>
    <w:p w:rsidR="007D5923" w:rsidRDefault="007D5923" w:rsidP="006A31AE">
      <w:pPr>
        <w:spacing w:after="200" w:line="276" w:lineRule="auto"/>
        <w:rPr>
          <w:rFonts w:ascii="Arial" w:eastAsia="Calibri" w:hAnsi="Arial" w:cs="Arial"/>
          <w:sz w:val="24"/>
          <w:szCs w:val="24"/>
          <w:lang w:eastAsia="en-GB"/>
        </w:rPr>
      </w:pPr>
    </w:p>
    <w:p w:rsidR="00596A1A" w:rsidRDefault="00596A1A" w:rsidP="006A31AE">
      <w:pPr>
        <w:spacing w:after="200" w:line="276" w:lineRule="auto"/>
        <w:rPr>
          <w:rFonts w:ascii="Arial" w:eastAsia="Calibri" w:hAnsi="Arial" w:cs="Arial"/>
          <w:sz w:val="24"/>
          <w:szCs w:val="24"/>
          <w:lang w:eastAsia="en-GB"/>
        </w:rPr>
      </w:pPr>
    </w:p>
    <w:p w:rsidR="006A31AE" w:rsidRPr="009D7550"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For those Croydon residents who worked outside of the borough, train was the most common method of transport. Driving a car or van was less common but was still the main method of transport for nearly a third of these residents.</w:t>
      </w:r>
    </w:p>
    <w:p w:rsidR="006A31AE" w:rsidRPr="007B5AAA" w:rsidRDefault="006A31AE" w:rsidP="006A31AE">
      <w:pPr>
        <w:spacing w:after="200" w:line="276" w:lineRule="auto"/>
        <w:rPr>
          <w:rFonts w:ascii="Arial" w:eastAsia="Calibri" w:hAnsi="Arial" w:cs="Arial"/>
          <w:sz w:val="24"/>
          <w:szCs w:val="24"/>
          <w:u w:val="single"/>
          <w:lang w:eastAsia="en-GB"/>
        </w:rPr>
      </w:pPr>
      <w:r w:rsidRPr="007B5AAA">
        <w:rPr>
          <w:rFonts w:ascii="Arial" w:eastAsia="Calibri" w:hAnsi="Arial" w:cs="Arial"/>
          <w:sz w:val="24"/>
          <w:szCs w:val="24"/>
          <w:u w:val="single"/>
          <w:lang w:eastAsia="en-GB"/>
        </w:rPr>
        <w:t>Figure 6 – Method of transport to work for Croydon residents working outside of the borough</w:t>
      </w:r>
    </w:p>
    <w:p w:rsidR="006A31AE" w:rsidRPr="006A31AE" w:rsidRDefault="006A31AE" w:rsidP="002235F2">
      <w:pPr>
        <w:spacing w:after="0" w:line="240"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3868CC19" wp14:editId="276AB91E">
            <wp:extent cx="4391025" cy="2230046"/>
            <wp:effectExtent l="19050" t="19050" r="9525" b="18415"/>
            <wp:docPr id="41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3" cstate="print"/>
                    <a:srcRect/>
                    <a:stretch>
                      <a:fillRect/>
                    </a:stretch>
                  </pic:blipFill>
                  <pic:spPr bwMode="auto">
                    <a:xfrm>
                      <a:off x="0" y="0"/>
                      <a:ext cx="4392560" cy="2230826"/>
                    </a:xfrm>
                    <a:prstGeom prst="rect">
                      <a:avLst/>
                    </a:prstGeom>
                    <a:noFill/>
                    <a:ln w="3175">
                      <a:solidFill>
                        <a:schemeClr val="tx1"/>
                      </a:solidFill>
                    </a:ln>
                  </pic:spPr>
                </pic:pic>
              </a:graphicData>
            </a:graphic>
          </wp:inline>
        </w:drawing>
      </w:r>
    </w:p>
    <w:p w:rsidR="006A31AE" w:rsidRPr="002235F2" w:rsidRDefault="006A31AE" w:rsidP="002235F2">
      <w:pPr>
        <w:spacing w:after="0" w:line="240" w:lineRule="auto"/>
        <w:rPr>
          <w:rFonts w:ascii="Arial" w:eastAsia="Calibri" w:hAnsi="Arial" w:cs="Arial"/>
          <w:sz w:val="20"/>
          <w:szCs w:val="24"/>
          <w:lang w:eastAsia="en-GB"/>
        </w:rPr>
      </w:pPr>
      <w:r w:rsidRPr="002235F2">
        <w:rPr>
          <w:rFonts w:ascii="Arial" w:eastAsia="Calibri" w:hAnsi="Arial" w:cs="Arial"/>
          <w:sz w:val="20"/>
          <w:szCs w:val="24"/>
          <w:lang w:eastAsia="en-GB"/>
        </w:rPr>
        <w:t>Source: ONS 2011 Census Table WU03UK</w:t>
      </w: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majority of Croydon residents who work outside of the borough are commuting to other London boroughs as shown by Figure 7. This may explain the differences in the main mode of transport used by this cohort. Please note that Westminster and the City of London were merged by the Office for National Statistics for this dataset.</w:t>
      </w:r>
    </w:p>
    <w:p w:rsidR="006A31AE" w:rsidRPr="006A31AE" w:rsidRDefault="006A31AE" w:rsidP="006A31AE">
      <w:pPr>
        <w:spacing w:after="200" w:line="276" w:lineRule="auto"/>
        <w:rPr>
          <w:rFonts w:ascii="Arial" w:eastAsia="Calibri" w:hAnsi="Arial" w:cs="Arial"/>
          <w:sz w:val="24"/>
          <w:szCs w:val="24"/>
          <w:lang w:eastAsia="en-GB"/>
        </w:rPr>
      </w:pPr>
    </w:p>
    <w:p w:rsidR="006A31AE" w:rsidRPr="007B5AAA" w:rsidRDefault="006A31AE" w:rsidP="006A31AE">
      <w:pPr>
        <w:spacing w:after="200" w:line="276" w:lineRule="auto"/>
        <w:rPr>
          <w:rFonts w:ascii="Arial" w:eastAsia="Calibri" w:hAnsi="Arial" w:cs="Arial"/>
          <w:sz w:val="24"/>
          <w:szCs w:val="24"/>
          <w:u w:val="single"/>
          <w:lang w:eastAsia="en-GB"/>
        </w:rPr>
      </w:pPr>
      <w:r w:rsidRPr="007B5AAA">
        <w:rPr>
          <w:rFonts w:ascii="Arial" w:eastAsia="Calibri" w:hAnsi="Arial" w:cs="Arial"/>
          <w:sz w:val="24"/>
          <w:szCs w:val="24"/>
          <w:u w:val="single"/>
          <w:lang w:eastAsia="en-GB"/>
        </w:rPr>
        <w:t>Figure 7 – Main places of work for residents who worked outside of the borough</w:t>
      </w:r>
    </w:p>
    <w:p w:rsidR="006A31AE" w:rsidRPr="002235F2" w:rsidRDefault="006A31AE" w:rsidP="002235F2">
      <w:pPr>
        <w:spacing w:after="0" w:line="240" w:lineRule="auto"/>
        <w:rPr>
          <w:rFonts w:ascii="Arial" w:eastAsia="Calibri" w:hAnsi="Arial" w:cs="Arial"/>
          <w:sz w:val="20"/>
          <w:szCs w:val="20"/>
          <w:lang w:eastAsia="en-GB"/>
        </w:rPr>
      </w:pPr>
      <w:r w:rsidRPr="006A31AE">
        <w:rPr>
          <w:rFonts w:ascii="Arial" w:eastAsia="Calibri" w:hAnsi="Arial" w:cs="Arial"/>
          <w:noProof/>
          <w:sz w:val="24"/>
          <w:szCs w:val="24"/>
          <w:lang w:eastAsia="en-GB"/>
        </w:rPr>
        <w:drawing>
          <wp:inline distT="0" distB="0" distL="0" distR="0" wp14:anchorId="444C8C2A" wp14:editId="47AA000C">
            <wp:extent cx="4434478" cy="2645229"/>
            <wp:effectExtent l="0" t="0" r="4445" b="3175"/>
            <wp:docPr id="41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4" cstate="print"/>
                    <a:srcRect/>
                    <a:stretch>
                      <a:fillRect/>
                    </a:stretch>
                  </pic:blipFill>
                  <pic:spPr bwMode="auto">
                    <a:xfrm>
                      <a:off x="0" y="0"/>
                      <a:ext cx="4459860" cy="2660370"/>
                    </a:xfrm>
                    <a:prstGeom prst="rect">
                      <a:avLst/>
                    </a:prstGeom>
                    <a:noFill/>
                  </pic:spPr>
                </pic:pic>
              </a:graphicData>
            </a:graphic>
          </wp:inline>
        </w:drawing>
      </w:r>
    </w:p>
    <w:p w:rsidR="006A31AE" w:rsidRPr="002235F2" w:rsidRDefault="006A31AE" w:rsidP="00061F50">
      <w:pPr>
        <w:spacing w:before="120" w:after="0" w:line="240" w:lineRule="auto"/>
        <w:rPr>
          <w:rFonts w:ascii="Arial" w:eastAsia="Calibri" w:hAnsi="Arial" w:cs="Arial"/>
          <w:sz w:val="20"/>
          <w:szCs w:val="20"/>
          <w:lang w:eastAsia="en-GB"/>
        </w:rPr>
      </w:pPr>
      <w:r w:rsidRPr="002235F2">
        <w:rPr>
          <w:rFonts w:ascii="Arial" w:eastAsia="Calibri" w:hAnsi="Arial" w:cs="Arial"/>
          <w:sz w:val="20"/>
          <w:szCs w:val="20"/>
          <w:lang w:eastAsia="en-GB"/>
        </w:rPr>
        <w:t>Source: ONS 2011 Census Table WU03UK</w:t>
      </w:r>
    </w:p>
    <w:p w:rsidR="006A31AE" w:rsidRDefault="006A31AE" w:rsidP="006A31AE">
      <w:pPr>
        <w:spacing w:after="0" w:line="240" w:lineRule="auto"/>
        <w:outlineLvl w:val="1"/>
        <w:rPr>
          <w:rFonts w:ascii="Arial" w:eastAsia="Times New Roman" w:hAnsi="Arial" w:cs="Arial"/>
          <w:b/>
          <w:bCs/>
          <w:sz w:val="28"/>
          <w:szCs w:val="24"/>
          <w:lang w:eastAsia="en-GB"/>
        </w:rPr>
      </w:pPr>
    </w:p>
    <w:p w:rsidR="008B6DE3" w:rsidRDefault="008B6DE3" w:rsidP="006A31AE">
      <w:pPr>
        <w:spacing w:after="0" w:line="240" w:lineRule="auto"/>
        <w:outlineLvl w:val="1"/>
        <w:rPr>
          <w:rFonts w:ascii="Arial" w:eastAsia="Times New Roman" w:hAnsi="Arial" w:cs="Arial"/>
          <w:b/>
          <w:bCs/>
          <w:sz w:val="28"/>
          <w:szCs w:val="24"/>
          <w:lang w:eastAsia="en-GB"/>
        </w:rPr>
      </w:pPr>
    </w:p>
    <w:p w:rsidR="007D5923" w:rsidRDefault="007D5923" w:rsidP="006A31AE">
      <w:pPr>
        <w:spacing w:after="0" w:line="240" w:lineRule="auto"/>
        <w:outlineLvl w:val="1"/>
        <w:rPr>
          <w:rFonts w:ascii="Arial" w:eastAsia="Times New Roman" w:hAnsi="Arial" w:cs="Arial"/>
          <w:b/>
          <w:bCs/>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Walking and cycling</w:t>
      </w:r>
    </w:p>
    <w:p w:rsidR="006A31AE" w:rsidRPr="006A31AE" w:rsidRDefault="006A31AE" w:rsidP="006A31AE">
      <w:pPr>
        <w:spacing w:after="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Although a significant proportion of Croydon residents who worked locally walked to work, the figures above show only a very small proportion of residents cycled to work. The Department for Transport collects statistics about general walking and cycling activity.</w:t>
      </w:r>
    </w:p>
    <w:p w:rsidR="006A31AE" w:rsidRP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In the latest figures for 2014/2015 it was estimated that about 88.8% of residents in Croydon walked for over 10 minutes at least once a month. This was similar to the London average of 89.0% and the England average of 86.3%</w:t>
      </w:r>
      <w:r w:rsidRPr="006A31AE">
        <w:rPr>
          <w:rFonts w:ascii="Arial" w:eastAsia="Calibri" w:hAnsi="Arial" w:cs="Arial"/>
          <w:sz w:val="24"/>
          <w:szCs w:val="24"/>
          <w:vertAlign w:val="superscript"/>
          <w:lang w:eastAsia="en-GB"/>
        </w:rPr>
        <w:footnoteReference w:id="39"/>
      </w:r>
      <w:r w:rsidRPr="006A31AE">
        <w:rPr>
          <w:rFonts w:ascii="Arial" w:eastAsia="Calibri" w:hAnsi="Arial" w:cs="Arial"/>
          <w:sz w:val="24"/>
          <w:szCs w:val="24"/>
          <w:lang w:eastAsia="en-GB"/>
        </w:rPr>
        <w:t>.</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proportion of Croydon residents estimated to have cycled at least once a week during 2016/2017 was 7.6% compared to the London average of 12.6% and the national average of 11.9%.  The Croydon and London figures are down on the previous year.</w:t>
      </w:r>
      <w:r w:rsidRPr="006A31AE">
        <w:rPr>
          <w:rFonts w:ascii="Arial" w:eastAsia="Calibri" w:hAnsi="Arial" w:cs="Arial"/>
          <w:sz w:val="24"/>
          <w:szCs w:val="24"/>
          <w:vertAlign w:val="superscript"/>
          <w:lang w:eastAsia="en-GB"/>
        </w:rPr>
        <w:footnoteReference w:id="40"/>
      </w:r>
    </w:p>
    <w:p w:rsidR="006A31AE" w:rsidRDefault="006A31AE" w:rsidP="006A31AE">
      <w:pPr>
        <w:spacing w:after="200" w:line="276" w:lineRule="auto"/>
        <w:rPr>
          <w:rFonts w:ascii="Arial" w:eastAsia="Calibri" w:hAnsi="Arial" w:cs="Arial"/>
          <w:sz w:val="24"/>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Availability of a car or van</w:t>
      </w:r>
    </w:p>
    <w:p w:rsidR="006A31AE" w:rsidRPr="006A31AE" w:rsidRDefault="006A31AE" w:rsidP="006A31AE">
      <w:pPr>
        <w:spacing w:after="0" w:line="276" w:lineRule="auto"/>
        <w:rPr>
          <w:rFonts w:ascii="Arial" w:eastAsia="Calibri" w:hAnsi="Arial" w:cs="Arial"/>
          <w:b/>
          <w:color w:val="00B050"/>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The availability of a car or van in a household is often used as a proxy measure for how well households can access services and their wider community. In Croydon about a third of households in the 2011 Census were recorded as not having a car or van. </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The 2021 Census may show a different picture as more younger adults may be staying at home - not being able to afford to move out – but being able to afford to buy cars instead of homes. </w:t>
      </w:r>
    </w:p>
    <w:p w:rsidR="007D5923" w:rsidRDefault="007D5923" w:rsidP="006A31AE">
      <w:pPr>
        <w:spacing w:after="200" w:line="276" w:lineRule="auto"/>
        <w:rPr>
          <w:rFonts w:ascii="Arial" w:eastAsia="Calibri" w:hAnsi="Arial" w:cs="Arial"/>
          <w:sz w:val="24"/>
          <w:szCs w:val="24"/>
          <w:lang w:eastAsia="en-GB"/>
        </w:rPr>
      </w:pPr>
    </w:p>
    <w:p w:rsidR="007D5923" w:rsidRDefault="007D5923"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However, there is a clear pattern across London with households in Inner London being less likely to have a car or van than those in Outer London boroughs. It is likely that the good public transport links in Croydon influence these figures.</w:t>
      </w:r>
    </w:p>
    <w:p w:rsidR="008B6DE3" w:rsidRPr="006A31AE" w:rsidRDefault="008B6DE3" w:rsidP="006A31AE">
      <w:pPr>
        <w:spacing w:after="200" w:line="276" w:lineRule="auto"/>
        <w:rPr>
          <w:rFonts w:ascii="Arial" w:eastAsia="Calibri" w:hAnsi="Arial" w:cs="Arial"/>
          <w:sz w:val="24"/>
          <w:szCs w:val="24"/>
          <w:lang w:eastAsia="en-GB"/>
        </w:rPr>
      </w:pPr>
    </w:p>
    <w:p w:rsidR="006A31AE" w:rsidRPr="006A31AE" w:rsidRDefault="006A31AE" w:rsidP="002235F2">
      <w:pPr>
        <w:spacing w:after="0" w:line="240" w:lineRule="auto"/>
        <w:rPr>
          <w:rFonts w:ascii="Arial" w:eastAsia="Calibri" w:hAnsi="Arial" w:cs="Arial"/>
          <w:sz w:val="24"/>
          <w:szCs w:val="24"/>
          <w:lang w:eastAsia="en-GB"/>
        </w:rPr>
      </w:pPr>
      <w:r w:rsidRPr="007B5AAA">
        <w:rPr>
          <w:rFonts w:ascii="Arial" w:eastAsia="Calibri" w:hAnsi="Arial" w:cs="Arial"/>
          <w:sz w:val="24"/>
          <w:szCs w:val="24"/>
          <w:u w:val="single"/>
          <w:lang w:eastAsia="en-GB"/>
        </w:rPr>
        <w:t>Figure 8 – Percentage of households without a car or van</w:t>
      </w:r>
      <w:r w:rsidRPr="006A31AE">
        <w:rPr>
          <w:rFonts w:ascii="Arial" w:eastAsia="Calibri" w:hAnsi="Arial" w:cs="Arial"/>
          <w:noProof/>
          <w:sz w:val="24"/>
          <w:szCs w:val="24"/>
          <w:lang w:eastAsia="en-GB"/>
        </w:rPr>
        <w:drawing>
          <wp:inline distT="0" distB="0" distL="0" distR="0" wp14:anchorId="5FD0AF90" wp14:editId="63EC1408">
            <wp:extent cx="4286433" cy="2460080"/>
            <wp:effectExtent l="19050" t="19050" r="19050" b="16510"/>
            <wp:docPr id="41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5" cstate="print"/>
                    <a:srcRect/>
                    <a:stretch>
                      <a:fillRect/>
                    </a:stretch>
                  </pic:blipFill>
                  <pic:spPr bwMode="auto">
                    <a:xfrm>
                      <a:off x="0" y="0"/>
                      <a:ext cx="4290078" cy="2462172"/>
                    </a:xfrm>
                    <a:prstGeom prst="rect">
                      <a:avLst/>
                    </a:prstGeom>
                    <a:noFill/>
                    <a:ln w="3175">
                      <a:solidFill>
                        <a:schemeClr val="tx1"/>
                      </a:solidFill>
                    </a:ln>
                  </pic:spPr>
                </pic:pic>
              </a:graphicData>
            </a:graphic>
          </wp:inline>
        </w:drawing>
      </w:r>
    </w:p>
    <w:p w:rsidR="006A31AE" w:rsidRPr="002235F2" w:rsidRDefault="006A31AE" w:rsidP="00061F50">
      <w:pPr>
        <w:spacing w:before="120" w:after="0" w:line="240" w:lineRule="auto"/>
        <w:rPr>
          <w:rFonts w:ascii="Arial" w:eastAsia="Calibri" w:hAnsi="Arial" w:cs="Arial"/>
          <w:sz w:val="20"/>
          <w:szCs w:val="20"/>
          <w:lang w:eastAsia="en-GB"/>
        </w:rPr>
      </w:pPr>
      <w:r w:rsidRPr="002235F2">
        <w:rPr>
          <w:rFonts w:ascii="Arial" w:eastAsia="Calibri" w:hAnsi="Arial" w:cs="Arial"/>
          <w:sz w:val="20"/>
          <w:szCs w:val="20"/>
          <w:lang w:eastAsia="en-GB"/>
        </w:rPr>
        <w:t>Source: ONS 2011 Census Table KS404EW</w:t>
      </w:r>
    </w:p>
    <w:p w:rsidR="006A31AE" w:rsidRDefault="006A31AE" w:rsidP="006A31AE">
      <w:pPr>
        <w:spacing w:after="0" w:line="240" w:lineRule="auto"/>
        <w:outlineLvl w:val="1"/>
        <w:rPr>
          <w:rFonts w:ascii="Arial" w:eastAsia="Times New Roman" w:hAnsi="Arial" w:cs="Arial"/>
          <w:bCs/>
          <w:sz w:val="28"/>
          <w:szCs w:val="24"/>
          <w:lang w:eastAsia="en-GB"/>
        </w:rPr>
      </w:pPr>
    </w:p>
    <w:p w:rsidR="002235F2" w:rsidRDefault="002235F2" w:rsidP="006A31AE">
      <w:pPr>
        <w:spacing w:after="0" w:line="240" w:lineRule="auto"/>
        <w:outlineLvl w:val="1"/>
        <w:rPr>
          <w:rFonts w:ascii="Arial" w:eastAsia="Times New Roman" w:hAnsi="Arial" w:cs="Arial"/>
          <w:bCs/>
          <w:sz w:val="28"/>
          <w:szCs w:val="24"/>
          <w:lang w:eastAsia="en-GB"/>
        </w:rPr>
      </w:pPr>
    </w:p>
    <w:p w:rsidR="002235F2" w:rsidRDefault="002235F2" w:rsidP="006A31AE">
      <w:pPr>
        <w:spacing w:after="0" w:line="240" w:lineRule="auto"/>
        <w:outlineLvl w:val="1"/>
        <w:rPr>
          <w:rFonts w:ascii="Arial" w:eastAsia="Times New Roman" w:hAnsi="Arial" w:cs="Arial"/>
          <w:bCs/>
          <w:sz w:val="28"/>
          <w:szCs w:val="24"/>
          <w:lang w:eastAsia="en-GB"/>
        </w:rPr>
      </w:pPr>
    </w:p>
    <w:p w:rsidR="007D5923" w:rsidRDefault="007D5923" w:rsidP="006A31AE">
      <w:pPr>
        <w:spacing w:after="0" w:line="240" w:lineRule="auto"/>
        <w:outlineLvl w:val="1"/>
        <w:rPr>
          <w:rFonts w:ascii="Arial" w:eastAsia="Times New Roman" w:hAnsi="Arial" w:cs="Arial"/>
          <w:b/>
          <w:bCs/>
          <w:color w:val="00B050"/>
          <w:sz w:val="28"/>
          <w:szCs w:val="24"/>
          <w:lang w:eastAsia="en-GB"/>
        </w:rPr>
      </w:pPr>
    </w:p>
    <w:p w:rsidR="00925240" w:rsidRDefault="00925240" w:rsidP="006A31AE">
      <w:pPr>
        <w:spacing w:after="0" w:line="240" w:lineRule="auto"/>
        <w:outlineLvl w:val="1"/>
        <w:rPr>
          <w:rFonts w:ascii="Arial" w:eastAsia="Times New Roman" w:hAnsi="Arial" w:cs="Arial"/>
          <w:b/>
          <w:bCs/>
          <w:color w:val="00B050"/>
          <w:sz w:val="28"/>
          <w:szCs w:val="24"/>
          <w:lang w:eastAsia="en-GB"/>
        </w:rPr>
      </w:pPr>
    </w:p>
    <w:p w:rsidR="006705A8" w:rsidRDefault="006705A8"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r w:rsidRPr="006A31AE">
        <w:rPr>
          <w:rFonts w:ascii="Arial" w:eastAsia="Times New Roman" w:hAnsi="Arial" w:cs="Arial"/>
          <w:b/>
          <w:bCs/>
          <w:color w:val="00B050"/>
          <w:sz w:val="28"/>
          <w:szCs w:val="24"/>
          <w:lang w:eastAsia="en-GB"/>
        </w:rPr>
        <w:t>Road Traffic Collisions</w:t>
      </w:r>
    </w:p>
    <w:p w:rsidR="006A31AE" w:rsidRPr="006A31AE" w:rsidRDefault="006A31AE" w:rsidP="006A31AE">
      <w:pPr>
        <w:spacing w:after="0" w:line="240" w:lineRule="auto"/>
        <w:outlineLvl w:val="1"/>
        <w:rPr>
          <w:rFonts w:ascii="Arial" w:eastAsia="Times New Roman" w:hAnsi="Arial" w:cs="Arial"/>
          <w:b/>
          <w:bCs/>
          <w:color w:val="00B050"/>
          <w:sz w:val="28"/>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number of road traffic collisions in Croydon has fluctuated over the last five years as shown by Figure 9. The 981 collisions in 2014 has been the highest number recorded over the last 5 years to 2017. The majority of these collisions only involve slight injuries.  There have been 5 fatalities in Croydon in both 2016 and 2017.</w:t>
      </w:r>
    </w:p>
    <w:p w:rsidR="008B6DE3" w:rsidRDefault="008B6DE3" w:rsidP="006A31AE">
      <w:pPr>
        <w:spacing w:after="200" w:line="276" w:lineRule="auto"/>
        <w:rPr>
          <w:rFonts w:ascii="Arial" w:eastAsia="Calibri" w:hAnsi="Arial" w:cs="Arial"/>
          <w:sz w:val="24"/>
          <w:szCs w:val="24"/>
          <w:u w:val="single"/>
          <w:lang w:eastAsia="en-GB"/>
        </w:rPr>
      </w:pPr>
    </w:p>
    <w:p w:rsidR="006A31AE" w:rsidRPr="007B5AAA" w:rsidRDefault="006A31AE" w:rsidP="006A31AE">
      <w:pPr>
        <w:spacing w:after="200" w:line="276" w:lineRule="auto"/>
        <w:rPr>
          <w:rFonts w:ascii="Arial" w:eastAsia="Calibri" w:hAnsi="Arial" w:cs="Arial"/>
          <w:sz w:val="24"/>
          <w:szCs w:val="24"/>
          <w:u w:val="single"/>
          <w:lang w:eastAsia="en-GB"/>
        </w:rPr>
      </w:pPr>
      <w:r w:rsidRPr="007B5AAA">
        <w:rPr>
          <w:rFonts w:ascii="Arial" w:eastAsia="Calibri" w:hAnsi="Arial" w:cs="Arial"/>
          <w:sz w:val="24"/>
          <w:szCs w:val="24"/>
          <w:u w:val="single"/>
          <w:lang w:eastAsia="en-GB"/>
        </w:rPr>
        <w:t>Figure 9 – Number of road traffic collisions</w:t>
      </w:r>
    </w:p>
    <w:p w:rsidR="006A31AE" w:rsidRPr="006A31AE" w:rsidRDefault="006A31AE" w:rsidP="002235F2">
      <w:pPr>
        <w:spacing w:after="0" w:line="240"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72C9663F" wp14:editId="33647BF1">
            <wp:extent cx="3891280" cy="2479040"/>
            <wp:effectExtent l="0" t="0" r="13970" b="1651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6"/>
              </a:graphicData>
            </a:graphic>
          </wp:inline>
        </w:drawing>
      </w:r>
    </w:p>
    <w:p w:rsidR="006A31AE" w:rsidRPr="002235F2" w:rsidRDefault="006A31AE" w:rsidP="002235F2">
      <w:pPr>
        <w:spacing w:after="0" w:line="240" w:lineRule="auto"/>
        <w:rPr>
          <w:rFonts w:ascii="Arial" w:eastAsia="Calibri" w:hAnsi="Arial" w:cs="Arial"/>
          <w:sz w:val="20"/>
          <w:szCs w:val="20"/>
          <w:lang w:eastAsia="en-GB"/>
        </w:rPr>
      </w:pPr>
      <w:r w:rsidRPr="002235F2">
        <w:rPr>
          <w:rFonts w:ascii="Arial" w:eastAsia="Calibri" w:hAnsi="Arial" w:cs="Arial"/>
          <w:sz w:val="20"/>
          <w:szCs w:val="20"/>
          <w:lang w:eastAsia="en-GB"/>
        </w:rPr>
        <w:t>Source: DfT Road casualty statistics Table RAS10016</w:t>
      </w:r>
    </w:p>
    <w:p w:rsidR="006A31AE" w:rsidRPr="006A31AE" w:rsidRDefault="006A31AE" w:rsidP="006A31AE">
      <w:pPr>
        <w:spacing w:after="200" w:line="276" w:lineRule="auto"/>
        <w:rPr>
          <w:rFonts w:ascii="Arial" w:eastAsia="Calibri" w:hAnsi="Arial" w:cs="Arial"/>
          <w:sz w:val="24"/>
          <w:szCs w:val="24"/>
          <w:lang w:eastAsia="en-GB"/>
        </w:rPr>
      </w:pPr>
    </w:p>
    <w:p w:rsidR="007D5923" w:rsidRDefault="007D5923" w:rsidP="006A31AE">
      <w:pPr>
        <w:spacing w:after="200" w:line="276" w:lineRule="auto"/>
        <w:rPr>
          <w:rFonts w:ascii="Arial" w:eastAsia="Calibri" w:hAnsi="Arial" w:cs="Arial"/>
          <w:sz w:val="24"/>
          <w:szCs w:val="24"/>
          <w:lang w:eastAsia="en-GB"/>
        </w:rPr>
      </w:pPr>
    </w:p>
    <w:p w:rsidR="006705A8" w:rsidRDefault="006705A8" w:rsidP="006A31AE">
      <w:pPr>
        <w:spacing w:after="200" w:line="276"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 number of road users killed or seriously injured (KSI) in Croydon in 2013 numbered 71.  The latest figure for 2017 is 124 which has topped the highest figure of 107 in 2012.</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Figure 10 shows the number of KSI casualties recorded over the past five years by the type of road user affected. For 2017 most casualties were pedestrians (41) followed by motor cyclists (39) and then cars (23).</w:t>
      </w:r>
    </w:p>
    <w:p w:rsidR="006A31AE" w:rsidRPr="006A31AE" w:rsidRDefault="006A31AE" w:rsidP="006A31AE">
      <w:pPr>
        <w:spacing w:after="200" w:line="276" w:lineRule="auto"/>
        <w:rPr>
          <w:rFonts w:ascii="Arial" w:eastAsia="Calibri" w:hAnsi="Arial" w:cs="Arial"/>
          <w:sz w:val="24"/>
          <w:szCs w:val="24"/>
          <w:lang w:eastAsia="en-GB"/>
        </w:rPr>
      </w:pPr>
    </w:p>
    <w:p w:rsidR="006A31AE" w:rsidRPr="007B5AAA" w:rsidRDefault="006A31AE" w:rsidP="006A31AE">
      <w:pPr>
        <w:spacing w:after="200" w:line="276" w:lineRule="auto"/>
        <w:rPr>
          <w:rFonts w:ascii="Arial" w:eastAsia="Calibri" w:hAnsi="Arial" w:cs="Arial"/>
          <w:sz w:val="24"/>
          <w:szCs w:val="24"/>
          <w:u w:val="single"/>
          <w:lang w:eastAsia="en-GB"/>
        </w:rPr>
      </w:pPr>
      <w:r w:rsidRPr="007B5AAA">
        <w:rPr>
          <w:rFonts w:ascii="Arial" w:eastAsia="Calibri" w:hAnsi="Arial" w:cs="Arial"/>
          <w:sz w:val="24"/>
          <w:szCs w:val="24"/>
          <w:u w:val="single"/>
          <w:lang w:eastAsia="en-GB"/>
        </w:rPr>
        <w:t>Figure 10 – Number of KSIs by type of road user</w:t>
      </w:r>
    </w:p>
    <w:p w:rsidR="002235F2" w:rsidRPr="006A31AE" w:rsidRDefault="006A31AE" w:rsidP="002235F2">
      <w:pPr>
        <w:spacing w:after="0" w:line="240" w:lineRule="auto"/>
        <w:rPr>
          <w:rFonts w:ascii="Arial" w:eastAsia="Calibri" w:hAnsi="Arial" w:cs="Arial"/>
          <w:noProof/>
          <w:sz w:val="24"/>
          <w:szCs w:val="24"/>
          <w:lang w:eastAsia="en-GB"/>
        </w:rPr>
      </w:pPr>
      <w:r w:rsidRPr="006A31AE">
        <w:rPr>
          <w:rFonts w:ascii="Arial" w:eastAsia="Calibri" w:hAnsi="Arial" w:cs="Arial"/>
          <w:noProof/>
          <w:sz w:val="24"/>
          <w:szCs w:val="24"/>
          <w:lang w:eastAsia="en-GB"/>
        </w:rPr>
        <w:drawing>
          <wp:inline distT="0" distB="0" distL="0" distR="0" wp14:anchorId="30F3AC89" wp14:editId="0F2ED166">
            <wp:extent cx="4114800" cy="2385060"/>
            <wp:effectExtent l="0" t="0" r="0" b="1524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7"/>
              </a:graphicData>
            </a:graphic>
          </wp:inline>
        </w:drawing>
      </w:r>
    </w:p>
    <w:p w:rsidR="006A31AE" w:rsidRPr="002235F2" w:rsidRDefault="006A31AE" w:rsidP="002235F2">
      <w:pPr>
        <w:spacing w:after="0" w:line="240" w:lineRule="auto"/>
        <w:rPr>
          <w:rFonts w:ascii="Arial" w:eastAsia="Calibri" w:hAnsi="Arial" w:cs="Arial"/>
          <w:sz w:val="20"/>
          <w:szCs w:val="20"/>
          <w:lang w:eastAsia="en-GB"/>
        </w:rPr>
      </w:pPr>
      <w:r w:rsidRPr="002235F2">
        <w:rPr>
          <w:rFonts w:ascii="Arial" w:eastAsia="Calibri" w:hAnsi="Arial" w:cs="Arial"/>
          <w:sz w:val="20"/>
          <w:szCs w:val="20"/>
          <w:lang w:eastAsia="en-GB"/>
        </w:rPr>
        <w:t>Source: DfT Road casualty statistics Table RAS30043</w:t>
      </w:r>
    </w:p>
    <w:p w:rsidR="00276C5A" w:rsidRDefault="00276C5A" w:rsidP="006A31AE">
      <w:pPr>
        <w:spacing w:after="0" w:line="240" w:lineRule="auto"/>
        <w:outlineLvl w:val="0"/>
        <w:rPr>
          <w:rFonts w:ascii="Arial" w:eastAsia="Times New Roman" w:hAnsi="Arial" w:cs="Arial"/>
          <w:b/>
          <w:bCs/>
          <w:color w:val="701471"/>
          <w:sz w:val="28"/>
          <w:szCs w:val="24"/>
          <w:lang w:eastAsia="en-GB"/>
        </w:rPr>
      </w:pPr>
      <w:bookmarkStart w:id="36" w:name="_Substance_Misuse"/>
      <w:bookmarkStart w:id="37" w:name="_Fire_Services"/>
      <w:bookmarkEnd w:id="36"/>
      <w:bookmarkEnd w:id="37"/>
    </w:p>
    <w:p w:rsidR="002235F2" w:rsidRDefault="002235F2" w:rsidP="006A31AE">
      <w:pPr>
        <w:spacing w:after="0" w:line="240" w:lineRule="auto"/>
        <w:outlineLvl w:val="0"/>
        <w:rPr>
          <w:rFonts w:ascii="Arial" w:eastAsia="Times New Roman" w:hAnsi="Arial" w:cs="Arial"/>
          <w:b/>
          <w:bCs/>
          <w:color w:val="701471"/>
          <w:sz w:val="28"/>
          <w:szCs w:val="24"/>
          <w:lang w:eastAsia="en-GB"/>
        </w:rPr>
      </w:pPr>
    </w:p>
    <w:p w:rsidR="00670E7E" w:rsidRDefault="00670E7E" w:rsidP="006A31AE">
      <w:pPr>
        <w:spacing w:after="0" w:line="240" w:lineRule="auto"/>
        <w:outlineLvl w:val="0"/>
        <w:rPr>
          <w:rFonts w:ascii="Arial" w:eastAsia="Times New Roman" w:hAnsi="Arial" w:cs="Arial"/>
          <w:b/>
          <w:bCs/>
          <w:color w:val="701471"/>
          <w:sz w:val="28"/>
          <w:szCs w:val="24"/>
          <w:lang w:eastAsia="en-GB"/>
        </w:rPr>
      </w:pPr>
    </w:p>
    <w:p w:rsidR="006A50E0" w:rsidRDefault="006A50E0"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Fire Services</w:t>
      </w:r>
    </w:p>
    <w:p w:rsidR="008B6DE3" w:rsidRDefault="008B6DE3" w:rsidP="007D5923">
      <w:pPr>
        <w:spacing w:after="0" w:line="240"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The number of arson incidents reported in Croydon every June for the past 5 years has averaged around 323 for that month.  The latest June 2018 number is down on the last 12 months at 332 incidents. Of these, only 1 in 4 (23.2%) were for real fires. Special services which include services such as lift rescues made up 29.8% of all reported arson incidents in Croydon in June 2018. </w:t>
      </w:r>
      <w:r w:rsidR="00CA6068">
        <w:rPr>
          <w:rFonts w:ascii="Arial" w:eastAsia="Calibri" w:hAnsi="Arial" w:cs="Arial"/>
          <w:sz w:val="24"/>
          <w:szCs w:val="24"/>
          <w:lang w:eastAsia="en-GB"/>
        </w:rPr>
        <w:t>A</w:t>
      </w:r>
      <w:r w:rsidRPr="006A31AE">
        <w:rPr>
          <w:rFonts w:ascii="Arial" w:eastAsia="Calibri" w:hAnsi="Arial" w:cs="Arial"/>
          <w:sz w:val="24"/>
          <w:szCs w:val="24"/>
          <w:lang w:eastAsia="en-GB"/>
        </w:rPr>
        <w:t>round a half (47.0%) were false alarms, predominantly from automated fire alarm systems.</w:t>
      </w:r>
    </w:p>
    <w:p w:rsidR="006A31AE" w:rsidRPr="007B5AAA" w:rsidRDefault="006A31AE" w:rsidP="006A31AE">
      <w:pPr>
        <w:spacing w:after="200" w:line="276" w:lineRule="auto"/>
        <w:rPr>
          <w:rFonts w:ascii="Arial" w:eastAsia="Calibri" w:hAnsi="Arial" w:cs="Arial"/>
          <w:sz w:val="24"/>
          <w:szCs w:val="24"/>
          <w:u w:val="single"/>
          <w:lang w:eastAsia="en-GB"/>
        </w:rPr>
      </w:pPr>
      <w:r w:rsidRPr="007B5AAA">
        <w:rPr>
          <w:rFonts w:ascii="Arial" w:eastAsia="Calibri" w:hAnsi="Arial" w:cs="Arial"/>
          <w:sz w:val="24"/>
          <w:szCs w:val="24"/>
          <w:u w:val="single"/>
          <w:lang w:eastAsia="en-GB"/>
        </w:rPr>
        <w:t>Figure 11 – Reported Fires in Croydon in the Month of June from 2013-2018</w:t>
      </w:r>
    </w:p>
    <w:p w:rsidR="006A31AE" w:rsidRPr="006A31AE" w:rsidRDefault="006A31AE" w:rsidP="000D5C6C">
      <w:pPr>
        <w:spacing w:after="0" w:line="240" w:lineRule="auto"/>
        <w:rPr>
          <w:rFonts w:ascii="Arial" w:eastAsia="Calibri" w:hAnsi="Arial" w:cs="Arial"/>
          <w:sz w:val="24"/>
          <w:szCs w:val="24"/>
          <w:lang w:eastAsia="en-GB"/>
        </w:rPr>
      </w:pPr>
      <w:r w:rsidRPr="006A31AE">
        <w:rPr>
          <w:rFonts w:ascii="Arial" w:eastAsia="Calibri" w:hAnsi="Arial" w:cs="Arial"/>
          <w:noProof/>
          <w:sz w:val="24"/>
          <w:szCs w:val="24"/>
          <w:lang w:eastAsia="en-GB"/>
        </w:rPr>
        <w:drawing>
          <wp:inline distT="0" distB="0" distL="0" distR="0" wp14:anchorId="1223F06D" wp14:editId="0357A11E">
            <wp:extent cx="4206875" cy="2428240"/>
            <wp:effectExtent l="0" t="0" r="3175" b="10160"/>
            <wp:docPr id="13889" name="Chart 13889"/>
            <wp:cNvGraphicFramePr/>
            <a:graphic xmlns:a="http://schemas.openxmlformats.org/drawingml/2006/main">
              <a:graphicData uri="http://schemas.openxmlformats.org/drawingml/2006/chart">
                <c:chart xmlns:c="http://schemas.openxmlformats.org/drawingml/2006/chart" xmlns:r="http://schemas.openxmlformats.org/officeDocument/2006/relationships" r:id="rId208"/>
              </a:graphicData>
            </a:graphic>
          </wp:inline>
        </w:drawing>
      </w:r>
    </w:p>
    <w:p w:rsidR="006A31AE" w:rsidRPr="000D5C6C" w:rsidRDefault="006A31AE" w:rsidP="00CA6068">
      <w:pPr>
        <w:spacing w:before="120" w:after="0" w:line="240" w:lineRule="auto"/>
        <w:rPr>
          <w:rFonts w:ascii="Arial" w:eastAsia="Calibri" w:hAnsi="Arial" w:cs="Arial"/>
          <w:sz w:val="20"/>
          <w:szCs w:val="20"/>
          <w:lang w:eastAsia="en-GB"/>
        </w:rPr>
      </w:pPr>
      <w:r w:rsidRPr="000D5C6C">
        <w:rPr>
          <w:rFonts w:ascii="Arial" w:eastAsia="Calibri" w:hAnsi="Arial" w:cs="Arial"/>
          <w:sz w:val="20"/>
          <w:szCs w:val="20"/>
          <w:lang w:eastAsia="en-GB"/>
        </w:rPr>
        <w:t>Source : LFB.</w:t>
      </w:r>
    </w:p>
    <w:p w:rsidR="007D5923" w:rsidRDefault="007D5923" w:rsidP="006A31AE">
      <w:pPr>
        <w:spacing w:after="0" w:line="240" w:lineRule="auto"/>
        <w:outlineLvl w:val="0"/>
        <w:rPr>
          <w:rFonts w:ascii="Arial" w:eastAsia="Times New Roman" w:hAnsi="Arial" w:cs="Arial"/>
          <w:b/>
          <w:bCs/>
          <w:color w:val="701471"/>
          <w:sz w:val="28"/>
          <w:szCs w:val="24"/>
          <w:lang w:eastAsia="en-GB"/>
        </w:rPr>
      </w:pPr>
      <w:bookmarkStart w:id="38" w:name="_Fly-tipping"/>
      <w:bookmarkEnd w:id="38"/>
    </w:p>
    <w:p w:rsidR="006A50E0" w:rsidRDefault="006A50E0" w:rsidP="006A31AE">
      <w:pPr>
        <w:spacing w:after="0" w:line="240" w:lineRule="auto"/>
        <w:outlineLvl w:val="0"/>
        <w:rPr>
          <w:rFonts w:ascii="Arial" w:eastAsia="Times New Roman" w:hAnsi="Arial" w:cs="Arial"/>
          <w:b/>
          <w:bCs/>
          <w:color w:val="701471"/>
          <w:sz w:val="28"/>
          <w:szCs w:val="24"/>
          <w:lang w:eastAsia="en-GB"/>
        </w:rPr>
      </w:pPr>
    </w:p>
    <w:p w:rsidR="006A31AE" w:rsidRPr="006A31AE" w:rsidRDefault="006A31AE" w:rsidP="006A31AE">
      <w:pPr>
        <w:spacing w:after="0" w:line="240" w:lineRule="auto"/>
        <w:outlineLvl w:val="0"/>
        <w:rPr>
          <w:rFonts w:ascii="Arial" w:eastAsia="Times New Roman" w:hAnsi="Arial" w:cs="Arial"/>
          <w:b/>
          <w:bCs/>
          <w:color w:val="701471"/>
          <w:sz w:val="28"/>
          <w:szCs w:val="24"/>
          <w:lang w:eastAsia="en-GB"/>
        </w:rPr>
      </w:pPr>
      <w:r w:rsidRPr="006A31AE">
        <w:rPr>
          <w:rFonts w:ascii="Arial" w:eastAsia="Times New Roman" w:hAnsi="Arial" w:cs="Arial"/>
          <w:b/>
          <w:bCs/>
          <w:color w:val="701471"/>
          <w:sz w:val="28"/>
          <w:szCs w:val="24"/>
          <w:lang w:eastAsia="en-GB"/>
        </w:rPr>
        <w:t>Fly-tipping</w:t>
      </w:r>
    </w:p>
    <w:p w:rsidR="00E82635" w:rsidRDefault="00E82635" w:rsidP="006927C0">
      <w:pPr>
        <w:spacing w:after="0" w:line="240" w:lineRule="auto"/>
        <w:rPr>
          <w:rFonts w:ascii="Arial" w:eastAsia="Calibri" w:hAnsi="Arial" w:cs="Arial"/>
          <w:sz w:val="24"/>
          <w:szCs w:val="24"/>
          <w:lang w:eastAsia="en-GB"/>
        </w:rPr>
      </w:pP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 xml:space="preserve">24,797 fly-tipping incidents were recorded in 2016/17; this is an increase from the 18,560 recorded in 2014/15. This may be due in part to the campaign to encourage the public to report fly-tipping. </w:t>
      </w:r>
    </w:p>
    <w:p w:rsidR="006A31AE" w:rsidRPr="006A31AE" w:rsidRDefault="006A31AE" w:rsidP="006A31AE">
      <w:pPr>
        <w:spacing w:after="200" w:line="276" w:lineRule="auto"/>
        <w:rPr>
          <w:rFonts w:ascii="Arial" w:eastAsia="Calibri" w:hAnsi="Arial" w:cs="Arial"/>
          <w:sz w:val="24"/>
          <w:szCs w:val="24"/>
          <w:lang w:eastAsia="en-GB"/>
        </w:rPr>
      </w:pPr>
      <w:r w:rsidRPr="006A31AE">
        <w:rPr>
          <w:rFonts w:ascii="Arial" w:eastAsia="Calibri" w:hAnsi="Arial" w:cs="Arial"/>
          <w:sz w:val="24"/>
          <w:szCs w:val="24"/>
          <w:lang w:eastAsia="en-GB"/>
        </w:rPr>
        <w:t>These latest figures place Croydon in the top 3 out of all London boroughs as can be seen from Figure 16.</w:t>
      </w:r>
    </w:p>
    <w:p w:rsidR="006A31AE" w:rsidRDefault="006A31AE" w:rsidP="006A31AE">
      <w:pPr>
        <w:spacing w:after="200" w:line="276" w:lineRule="auto"/>
        <w:rPr>
          <w:rFonts w:ascii="Arial" w:eastAsia="Calibri" w:hAnsi="Arial" w:cs="Arial"/>
          <w:sz w:val="24"/>
          <w:szCs w:val="24"/>
          <w:u w:val="single"/>
          <w:lang w:eastAsia="en-GB"/>
        </w:rPr>
      </w:pPr>
      <w:r w:rsidRPr="007B5AAA">
        <w:rPr>
          <w:rFonts w:ascii="Arial" w:eastAsia="Calibri" w:hAnsi="Arial" w:cs="Arial"/>
          <w:sz w:val="24"/>
          <w:szCs w:val="24"/>
          <w:u w:val="single"/>
          <w:lang w:eastAsia="en-GB"/>
        </w:rPr>
        <w:t xml:space="preserve">Figure </w:t>
      </w:r>
      <w:r w:rsidR="007B5AAA" w:rsidRPr="007B5AAA">
        <w:rPr>
          <w:rFonts w:ascii="Arial" w:eastAsia="Calibri" w:hAnsi="Arial" w:cs="Arial"/>
          <w:sz w:val="24"/>
          <w:szCs w:val="24"/>
          <w:u w:val="single"/>
          <w:lang w:eastAsia="en-GB"/>
        </w:rPr>
        <w:t>1</w:t>
      </w:r>
      <w:r w:rsidR="00CA6068">
        <w:rPr>
          <w:rFonts w:ascii="Arial" w:eastAsia="Calibri" w:hAnsi="Arial" w:cs="Arial"/>
          <w:sz w:val="24"/>
          <w:szCs w:val="24"/>
          <w:u w:val="single"/>
          <w:lang w:eastAsia="en-GB"/>
        </w:rPr>
        <w:t>2</w:t>
      </w:r>
      <w:r w:rsidRPr="007B5AAA">
        <w:rPr>
          <w:rFonts w:ascii="Arial" w:eastAsia="Calibri" w:hAnsi="Arial" w:cs="Arial"/>
          <w:sz w:val="24"/>
          <w:szCs w:val="24"/>
          <w:u w:val="single"/>
          <w:lang w:eastAsia="en-GB"/>
        </w:rPr>
        <w:t xml:space="preserve"> – Number of fly-tipping incidents 2016/2017</w:t>
      </w:r>
    </w:p>
    <w:p w:rsidR="006927C0" w:rsidRPr="007B5AAA" w:rsidRDefault="006927C0" w:rsidP="006927C0">
      <w:pPr>
        <w:spacing w:after="0" w:line="240" w:lineRule="auto"/>
        <w:rPr>
          <w:rFonts w:ascii="Arial" w:eastAsia="Calibri" w:hAnsi="Arial" w:cs="Arial"/>
          <w:sz w:val="24"/>
          <w:szCs w:val="24"/>
          <w:u w:val="single"/>
          <w:lang w:eastAsia="en-GB"/>
        </w:rPr>
      </w:pPr>
      <w:r>
        <w:rPr>
          <w:noProof/>
          <w:lang w:eastAsia="en-GB"/>
        </w:rPr>
        <w:drawing>
          <wp:inline distT="0" distB="0" distL="0" distR="0" wp14:anchorId="4292926D" wp14:editId="46E956AD">
            <wp:extent cx="4714240" cy="3108960"/>
            <wp:effectExtent l="0" t="0" r="10160" b="15240"/>
            <wp:docPr id="13926" name="Chart 139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09"/>
              </a:graphicData>
            </a:graphic>
          </wp:inline>
        </w:drawing>
      </w:r>
    </w:p>
    <w:p w:rsidR="00A461E6" w:rsidRPr="002235F2" w:rsidRDefault="006A31AE" w:rsidP="006927C0">
      <w:pPr>
        <w:spacing w:before="120" w:after="0" w:line="240" w:lineRule="auto"/>
        <w:rPr>
          <w:sz w:val="20"/>
          <w:szCs w:val="20"/>
        </w:rPr>
      </w:pPr>
      <w:r w:rsidRPr="002235F2">
        <w:rPr>
          <w:rFonts w:ascii="Arial" w:eastAsia="Calibri" w:hAnsi="Arial" w:cs="Arial"/>
          <w:sz w:val="20"/>
          <w:szCs w:val="20"/>
          <w:lang w:eastAsia="en-GB"/>
        </w:rPr>
        <w:t>Source: DEFRA, ENV24</w:t>
      </w:r>
    </w:p>
    <w:sectPr w:rsidR="00A461E6" w:rsidRPr="002235F2" w:rsidSect="006A31AE">
      <w:headerReference w:type="default" r:id="rId210"/>
      <w:footerReference w:type="default" r:id="rId211"/>
      <w:pgSz w:w="16838" w:h="11906" w:orient="landscape"/>
      <w:pgMar w:top="1440" w:right="1440" w:bottom="568" w:left="1440" w:header="708" w:footer="708" w:gutter="0"/>
      <w:cols w:num="2"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238E9" w:rsidRDefault="00E238E9" w:rsidP="006A31AE">
      <w:pPr>
        <w:spacing w:after="0" w:line="240" w:lineRule="auto"/>
      </w:pPr>
      <w:r>
        <w:separator/>
      </w:r>
    </w:p>
  </w:endnote>
  <w:endnote w:type="continuationSeparator" w:id="0">
    <w:p w:rsidR="00E238E9" w:rsidRDefault="00E238E9" w:rsidP="006A31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rbel">
    <w:panose1 w:val="020B0503020204020204"/>
    <w:charset w:val="00"/>
    <w:family w:val="swiss"/>
    <w:pitch w:val="variable"/>
    <w:sig w:usb0="A00002EF" w:usb1="4000A44B" w:usb2="00000000"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Foundry Form Sans">
    <w:altName w:val="Foundry Form Sans"/>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99487"/>
      <w:docPartObj>
        <w:docPartGallery w:val="Page Numbers (Bottom of Page)"/>
        <w:docPartUnique/>
      </w:docPartObj>
    </w:sdtPr>
    <w:sdtEndPr/>
    <w:sdtContent>
      <w:p w:rsidR="00721450" w:rsidRDefault="00721450">
        <w:pPr>
          <w:pStyle w:val="Footer"/>
          <w:jc w:val="center"/>
        </w:pPr>
        <w:r>
          <w:rPr>
            <w:noProof/>
            <w:lang w:eastAsia="en-GB"/>
          </w:rPr>
          <mc:AlternateContent>
            <mc:Choice Requires="wps">
              <w:drawing>
                <wp:anchor distT="4294967295" distB="4294967295" distL="114300" distR="114300" simplePos="0" relativeHeight="251654656" behindDoc="0" locked="0" layoutInCell="1" allowOverlap="1" wp14:anchorId="7A65BC3D" wp14:editId="2BF37A8E">
                  <wp:simplePos x="0" y="0"/>
                  <wp:positionH relativeFrom="column">
                    <wp:posOffset>-1028700</wp:posOffset>
                  </wp:positionH>
                  <wp:positionV relativeFrom="paragraph">
                    <wp:posOffset>-34926</wp:posOffset>
                  </wp:positionV>
                  <wp:extent cx="10829925" cy="0"/>
                  <wp:effectExtent l="0" t="0" r="28575"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829925" cy="0"/>
                          </a:xfrm>
                          <a:prstGeom prst="line">
                            <a:avLst/>
                          </a:prstGeom>
                          <a:noFill/>
                          <a:ln w="25400" cap="flat" cmpd="sng" algn="ctr">
                            <a:solidFill>
                              <a:sysClr val="window" lastClr="FFFFFF">
                                <a:lumMod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5FB40AE1" id="Straight Connector 1"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1pt,-2.75pt" to="771.7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" strokecolor="#7f7f7f" strokeweight="2pt">
                  <o:lock v:ext="edit" shapetype="f"/>
                </v:line>
              </w:pict>
            </mc:Fallback>
          </mc:AlternateContent>
        </w:r>
      </w:p>
    </w:sdtContent>
  </w:sdt>
  <w:p w:rsidR="00721450" w:rsidRDefault="00721450">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57633697"/>
      <w:docPartObj>
        <w:docPartGallery w:val="Page Numbers (Bottom of Page)"/>
        <w:docPartUnique/>
      </w:docPartObj>
    </w:sdtPr>
    <w:sdtEndPr>
      <w:rPr>
        <w:noProof/>
      </w:rPr>
    </w:sdtEndPr>
    <w:sdtContent>
      <w:p w:rsidR="00721450" w:rsidRDefault="00721450">
        <w:pPr>
          <w:pStyle w:val="Footer"/>
          <w:jc w:val="center"/>
        </w:pPr>
        <w:r>
          <w:fldChar w:fldCharType="begin"/>
        </w:r>
        <w:r>
          <w:instrText xml:space="preserve"> PAGE   \* MERGEFORMAT </w:instrText>
        </w:r>
        <w:r>
          <w:fldChar w:fldCharType="separate"/>
        </w:r>
        <w:r w:rsidR="00FD34DB">
          <w:rPr>
            <w:noProof/>
          </w:rPr>
          <w:t>79</w:t>
        </w:r>
        <w:r>
          <w:rPr>
            <w:noProof/>
          </w:rPr>
          <w:fldChar w:fldCharType="end"/>
        </w:r>
      </w:p>
    </w:sdtContent>
  </w:sdt>
  <w:p w:rsidR="00721450" w:rsidRDefault="00721450" w:rsidP="006A31AE">
    <w:pPr>
      <w:pStyle w:val="Footer"/>
      <w:jc w:val="cen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83868352"/>
      <w:docPartObj>
        <w:docPartGallery w:val="Page Numbers (Bottom of Page)"/>
        <w:docPartUnique/>
      </w:docPartObj>
    </w:sdtPr>
    <w:sdtEndPr>
      <w:rPr>
        <w:noProof/>
      </w:rPr>
    </w:sdtEndPr>
    <w:sdtContent>
      <w:p w:rsidR="00721450" w:rsidRDefault="00721450">
        <w:pPr>
          <w:pStyle w:val="Footer"/>
          <w:jc w:val="center"/>
        </w:pPr>
        <w:r>
          <w:fldChar w:fldCharType="begin"/>
        </w:r>
        <w:r>
          <w:instrText xml:space="preserve"> PAGE   \* MERGEFORMAT </w:instrText>
        </w:r>
        <w:r>
          <w:fldChar w:fldCharType="separate"/>
        </w:r>
        <w:r w:rsidR="00FD34DB">
          <w:rPr>
            <w:noProof/>
          </w:rPr>
          <w:t>95</w:t>
        </w:r>
        <w:r>
          <w:rPr>
            <w:noProof/>
          </w:rPr>
          <w:fldChar w:fldCharType="end"/>
        </w:r>
      </w:p>
    </w:sdtContent>
  </w:sdt>
  <w:p w:rsidR="00721450" w:rsidRDefault="00721450" w:rsidP="006A31AE">
    <w:pPr>
      <w:pStyle w:val="Footer"/>
      <w:jc w:val="cen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11640131"/>
      <w:docPartObj>
        <w:docPartGallery w:val="Page Numbers (Bottom of Page)"/>
        <w:docPartUnique/>
      </w:docPartObj>
    </w:sdtPr>
    <w:sdtEndPr>
      <w:rPr>
        <w:noProof/>
      </w:rPr>
    </w:sdtEndPr>
    <w:sdtContent>
      <w:p w:rsidR="00721450" w:rsidRDefault="00721450">
        <w:pPr>
          <w:pStyle w:val="Footer"/>
          <w:jc w:val="center"/>
        </w:pPr>
        <w:r>
          <w:fldChar w:fldCharType="begin"/>
        </w:r>
        <w:r>
          <w:instrText xml:space="preserve"> PAGE   \* MERGEFORMAT </w:instrText>
        </w:r>
        <w:r>
          <w:fldChar w:fldCharType="separate"/>
        </w:r>
        <w:r w:rsidR="00FD34DB">
          <w:rPr>
            <w:noProof/>
          </w:rPr>
          <w:t>103</w:t>
        </w:r>
        <w:r>
          <w:rPr>
            <w:noProof/>
          </w:rPr>
          <w:fldChar w:fldCharType="end"/>
        </w:r>
      </w:p>
    </w:sdtContent>
  </w:sdt>
  <w:p w:rsidR="00721450" w:rsidRDefault="00721450" w:rsidP="006A31AE">
    <w:pPr>
      <w:pStyle w:val="Footer"/>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933206741"/>
      <w:docPartObj>
        <w:docPartGallery w:val="Page Numbers (Bottom of Page)"/>
        <w:docPartUnique/>
      </w:docPartObj>
    </w:sdtPr>
    <w:sdtEndPr/>
    <w:sdtContent>
      <w:p w:rsidR="00721450" w:rsidRDefault="00721450">
        <w:pPr>
          <w:pStyle w:val="Footer"/>
          <w:jc w:val="center"/>
        </w:pPr>
        <w:r>
          <w:fldChar w:fldCharType="begin"/>
        </w:r>
        <w:r>
          <w:instrText xml:space="preserve"> PAGE   \* MERGEFORMAT </w:instrText>
        </w:r>
        <w:r>
          <w:fldChar w:fldCharType="separate"/>
        </w:r>
        <w:r w:rsidR="00FD34DB">
          <w:rPr>
            <w:noProof/>
          </w:rPr>
          <w:t>7</w:t>
        </w:r>
        <w:r>
          <w:rPr>
            <w:noProof/>
          </w:rPr>
          <w:fldChar w:fldCharType="end"/>
        </w:r>
      </w:p>
    </w:sdtContent>
  </w:sdt>
  <w:p w:rsidR="00721450" w:rsidRDefault="0072145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8869570"/>
      <w:docPartObj>
        <w:docPartGallery w:val="Page Numbers (Bottom of Page)"/>
        <w:docPartUnique/>
      </w:docPartObj>
    </w:sdtPr>
    <w:sdtEndPr/>
    <w:sdtContent>
      <w:p w:rsidR="00721450" w:rsidRDefault="00721450">
        <w:pPr>
          <w:pStyle w:val="Footer"/>
          <w:jc w:val="center"/>
        </w:pPr>
        <w:r>
          <w:fldChar w:fldCharType="begin"/>
        </w:r>
        <w:r>
          <w:instrText xml:space="preserve"> PAGE   \* MERGEFORMAT </w:instrText>
        </w:r>
        <w:r>
          <w:fldChar w:fldCharType="separate"/>
        </w:r>
        <w:r w:rsidR="00FD34DB">
          <w:rPr>
            <w:noProof/>
          </w:rPr>
          <w:t>8</w:t>
        </w:r>
        <w:r>
          <w:rPr>
            <w:noProof/>
          </w:rPr>
          <w:fldChar w:fldCharType="end"/>
        </w:r>
      </w:p>
    </w:sdtContent>
  </w:sdt>
  <w:p w:rsidR="00721450" w:rsidRDefault="0072145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403079"/>
      <w:docPartObj>
        <w:docPartGallery w:val="Page Numbers (Bottom of Page)"/>
        <w:docPartUnique/>
      </w:docPartObj>
    </w:sdtPr>
    <w:sdtEndPr>
      <w:rPr>
        <w:noProof/>
      </w:rPr>
    </w:sdtEndPr>
    <w:sdtContent>
      <w:p w:rsidR="00721450" w:rsidRDefault="00721450">
        <w:pPr>
          <w:pStyle w:val="Footer"/>
          <w:jc w:val="center"/>
        </w:pPr>
        <w:r>
          <w:fldChar w:fldCharType="begin"/>
        </w:r>
        <w:r>
          <w:instrText xml:space="preserve"> PAGE   \* MERGEFORMAT </w:instrText>
        </w:r>
        <w:r>
          <w:fldChar w:fldCharType="separate"/>
        </w:r>
        <w:r w:rsidR="00FD34DB">
          <w:rPr>
            <w:noProof/>
          </w:rPr>
          <w:t>19</w:t>
        </w:r>
        <w:r>
          <w:rPr>
            <w:noProof/>
          </w:rPr>
          <w:fldChar w:fldCharType="end"/>
        </w:r>
      </w:p>
    </w:sdtContent>
  </w:sdt>
  <w:p w:rsidR="00721450" w:rsidRDefault="00721450" w:rsidP="006A31AE">
    <w:pPr>
      <w:pStyle w:val="Footer"/>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46991372"/>
      <w:docPartObj>
        <w:docPartGallery w:val="Page Numbers (Bottom of Page)"/>
        <w:docPartUnique/>
      </w:docPartObj>
    </w:sdtPr>
    <w:sdtEndPr>
      <w:rPr>
        <w:noProof/>
      </w:rPr>
    </w:sdtEndPr>
    <w:sdtContent>
      <w:p w:rsidR="00721450" w:rsidRDefault="00721450">
        <w:pPr>
          <w:pStyle w:val="Footer"/>
          <w:jc w:val="center"/>
        </w:pPr>
        <w:r>
          <w:fldChar w:fldCharType="begin"/>
        </w:r>
        <w:r>
          <w:instrText xml:space="preserve"> PAGE   \* MERGEFORMAT </w:instrText>
        </w:r>
        <w:r>
          <w:fldChar w:fldCharType="separate"/>
        </w:r>
        <w:r w:rsidR="00FD34DB">
          <w:rPr>
            <w:noProof/>
          </w:rPr>
          <w:t>27</w:t>
        </w:r>
        <w:r>
          <w:rPr>
            <w:noProof/>
          </w:rPr>
          <w:fldChar w:fldCharType="end"/>
        </w:r>
      </w:p>
    </w:sdtContent>
  </w:sdt>
  <w:p w:rsidR="00721450" w:rsidRDefault="00721450" w:rsidP="006A31AE">
    <w:pPr>
      <w:pStyle w:val="Footer"/>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1058324"/>
      <w:docPartObj>
        <w:docPartGallery w:val="Page Numbers (Bottom of Page)"/>
        <w:docPartUnique/>
      </w:docPartObj>
    </w:sdtPr>
    <w:sdtEndPr>
      <w:rPr>
        <w:noProof/>
      </w:rPr>
    </w:sdtEndPr>
    <w:sdtContent>
      <w:p w:rsidR="00721450" w:rsidRDefault="00721450">
        <w:pPr>
          <w:pStyle w:val="Footer"/>
          <w:jc w:val="center"/>
        </w:pPr>
        <w:r>
          <w:fldChar w:fldCharType="begin"/>
        </w:r>
        <w:r>
          <w:instrText xml:space="preserve"> PAGE   \* MERGEFORMAT </w:instrText>
        </w:r>
        <w:r>
          <w:fldChar w:fldCharType="separate"/>
        </w:r>
        <w:r w:rsidR="00FD34DB">
          <w:rPr>
            <w:noProof/>
          </w:rPr>
          <w:t>35</w:t>
        </w:r>
        <w:r>
          <w:rPr>
            <w:noProof/>
          </w:rPr>
          <w:fldChar w:fldCharType="end"/>
        </w:r>
      </w:p>
    </w:sdtContent>
  </w:sdt>
  <w:p w:rsidR="00721450" w:rsidRDefault="00721450" w:rsidP="006A31AE">
    <w:pPr>
      <w:pStyle w:val="Footer"/>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13341497"/>
      <w:docPartObj>
        <w:docPartGallery w:val="Page Numbers (Bottom of Page)"/>
        <w:docPartUnique/>
      </w:docPartObj>
    </w:sdtPr>
    <w:sdtEndPr>
      <w:rPr>
        <w:noProof/>
      </w:rPr>
    </w:sdtEndPr>
    <w:sdtContent>
      <w:p w:rsidR="00721450" w:rsidRDefault="00721450">
        <w:pPr>
          <w:pStyle w:val="Footer"/>
          <w:jc w:val="center"/>
        </w:pPr>
        <w:r>
          <w:fldChar w:fldCharType="begin"/>
        </w:r>
        <w:r>
          <w:instrText xml:space="preserve"> PAGE   \* MERGEFORMAT </w:instrText>
        </w:r>
        <w:r>
          <w:fldChar w:fldCharType="separate"/>
        </w:r>
        <w:r w:rsidR="00FD34DB">
          <w:rPr>
            <w:noProof/>
          </w:rPr>
          <w:t>45</w:t>
        </w:r>
        <w:r>
          <w:rPr>
            <w:noProof/>
          </w:rPr>
          <w:fldChar w:fldCharType="end"/>
        </w:r>
      </w:p>
    </w:sdtContent>
  </w:sdt>
  <w:p w:rsidR="00721450" w:rsidRDefault="00721450" w:rsidP="006A31AE">
    <w:pPr>
      <w:pStyle w:val="Footer"/>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5785116"/>
      <w:docPartObj>
        <w:docPartGallery w:val="Page Numbers (Bottom of Page)"/>
        <w:docPartUnique/>
      </w:docPartObj>
    </w:sdtPr>
    <w:sdtEndPr>
      <w:rPr>
        <w:noProof/>
      </w:rPr>
    </w:sdtEndPr>
    <w:sdtContent>
      <w:p w:rsidR="00721450" w:rsidRDefault="00721450">
        <w:pPr>
          <w:pStyle w:val="Footer"/>
          <w:jc w:val="center"/>
        </w:pPr>
        <w:r>
          <w:fldChar w:fldCharType="begin"/>
        </w:r>
        <w:r>
          <w:instrText xml:space="preserve"> PAGE   \* MERGEFORMAT </w:instrText>
        </w:r>
        <w:r>
          <w:fldChar w:fldCharType="separate"/>
        </w:r>
        <w:r w:rsidR="00FD34DB">
          <w:rPr>
            <w:noProof/>
          </w:rPr>
          <w:t>52</w:t>
        </w:r>
        <w:r>
          <w:rPr>
            <w:noProof/>
          </w:rPr>
          <w:fldChar w:fldCharType="end"/>
        </w:r>
      </w:p>
    </w:sdtContent>
  </w:sdt>
  <w:p w:rsidR="00721450" w:rsidRDefault="00721450" w:rsidP="006A31AE">
    <w:pPr>
      <w:pStyle w:val="Footer"/>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1211280"/>
      <w:docPartObj>
        <w:docPartGallery w:val="Page Numbers (Bottom of Page)"/>
        <w:docPartUnique/>
      </w:docPartObj>
    </w:sdtPr>
    <w:sdtEndPr>
      <w:rPr>
        <w:noProof/>
      </w:rPr>
    </w:sdtEndPr>
    <w:sdtContent>
      <w:p w:rsidR="00721450" w:rsidRDefault="00721450">
        <w:pPr>
          <w:pStyle w:val="Footer"/>
          <w:jc w:val="center"/>
        </w:pPr>
        <w:r>
          <w:fldChar w:fldCharType="begin"/>
        </w:r>
        <w:r>
          <w:instrText xml:space="preserve"> PAGE   \* MERGEFORMAT </w:instrText>
        </w:r>
        <w:r>
          <w:fldChar w:fldCharType="separate"/>
        </w:r>
        <w:r w:rsidR="00FD34DB">
          <w:rPr>
            <w:noProof/>
          </w:rPr>
          <w:t>66</w:t>
        </w:r>
        <w:r>
          <w:rPr>
            <w:noProof/>
          </w:rPr>
          <w:fldChar w:fldCharType="end"/>
        </w:r>
      </w:p>
    </w:sdtContent>
  </w:sdt>
  <w:p w:rsidR="00721450" w:rsidRDefault="00721450" w:rsidP="006A31AE">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238E9" w:rsidRDefault="00E238E9" w:rsidP="006A31AE">
      <w:pPr>
        <w:spacing w:after="0" w:line="240" w:lineRule="auto"/>
      </w:pPr>
      <w:r>
        <w:separator/>
      </w:r>
    </w:p>
  </w:footnote>
  <w:footnote w:type="continuationSeparator" w:id="0">
    <w:p w:rsidR="00E238E9" w:rsidRDefault="00E238E9" w:rsidP="006A31AE">
      <w:pPr>
        <w:spacing w:after="0" w:line="240" w:lineRule="auto"/>
      </w:pPr>
      <w:r>
        <w:continuationSeparator/>
      </w:r>
    </w:p>
  </w:footnote>
  <w:footnote w:id="1">
    <w:p w:rsidR="00721450" w:rsidRDefault="00721450" w:rsidP="006A31AE">
      <w:pPr>
        <w:pStyle w:val="FootnoteText"/>
      </w:pPr>
      <w:r>
        <w:rPr>
          <w:rStyle w:val="FootnoteReference"/>
        </w:rPr>
        <w:footnoteRef/>
      </w:r>
      <w:r>
        <w:t xml:space="preserve"> ONS Integrated Household Survey Jan-Dec 2014 and ONS mid year population estimates 2014.</w:t>
      </w:r>
    </w:p>
  </w:footnote>
  <w:footnote w:id="2">
    <w:p w:rsidR="00721450" w:rsidRDefault="00721450" w:rsidP="006A31AE">
      <w:pPr>
        <w:pStyle w:val="FootnoteText"/>
      </w:pPr>
      <w:r>
        <w:rPr>
          <w:rStyle w:val="FootnoteReference"/>
        </w:rPr>
        <w:footnoteRef/>
      </w:r>
      <w:r>
        <w:t xml:space="preserve"> Gender Identity and Research Society (2011) Collecting Information on Gender Identity </w:t>
      </w:r>
      <w:hyperlink r:id="rId1" w:history="1">
        <w:r w:rsidRPr="00277B1C">
          <w:rPr>
            <w:rStyle w:val="Hyperlink1"/>
          </w:rPr>
          <w:t>http://www.gires.org.uk/GID8301.PDF</w:t>
        </w:r>
      </w:hyperlink>
      <w:r>
        <w:t xml:space="preserve"> </w:t>
      </w:r>
    </w:p>
  </w:footnote>
  <w:footnote w:id="3">
    <w:p w:rsidR="00721450" w:rsidRDefault="00721450" w:rsidP="006A31AE">
      <w:pPr>
        <w:pStyle w:val="FootnoteText"/>
      </w:pPr>
      <w:r>
        <w:rPr>
          <w:rStyle w:val="FootnoteReference"/>
        </w:rPr>
        <w:footnoteRef/>
      </w:r>
      <w:r>
        <w:t xml:space="preserve"> MOPAC crime dashboard</w:t>
      </w:r>
    </w:p>
  </w:footnote>
  <w:footnote w:id="4">
    <w:p w:rsidR="00721450" w:rsidRDefault="00721450" w:rsidP="006A31AE">
      <w:pPr>
        <w:pStyle w:val="FootnoteText"/>
      </w:pPr>
      <w:r>
        <w:rPr>
          <w:rStyle w:val="FootnoteReference"/>
        </w:rPr>
        <w:footnoteRef/>
      </w:r>
      <w:r>
        <w:t xml:space="preserve"> ONS, Inter Departmental Business Register (IDBR).</w:t>
      </w:r>
    </w:p>
  </w:footnote>
  <w:footnote w:id="5">
    <w:p w:rsidR="00721450" w:rsidRDefault="00721450" w:rsidP="006A31AE">
      <w:pPr>
        <w:pStyle w:val="FootnoteText"/>
      </w:pPr>
      <w:r>
        <w:rPr>
          <w:rStyle w:val="FootnoteReference"/>
        </w:rPr>
        <w:footnoteRef/>
      </w:r>
      <w:r>
        <w:t xml:space="preserve"> GLA Report on Housing Characteristics, October 2013.</w:t>
      </w:r>
    </w:p>
  </w:footnote>
  <w:footnote w:id="6">
    <w:p w:rsidR="00721450" w:rsidRDefault="00721450" w:rsidP="006A31AE">
      <w:pPr>
        <w:pStyle w:val="FootnoteText"/>
      </w:pPr>
    </w:p>
    <w:p w:rsidR="00721450" w:rsidRPr="00CB6E0A" w:rsidRDefault="00721450" w:rsidP="006A31AE">
      <w:pPr>
        <w:pStyle w:val="FootnoteText"/>
      </w:pPr>
      <w:r w:rsidRPr="00CB6E0A">
        <w:rPr>
          <w:rStyle w:val="FootnoteReference"/>
        </w:rPr>
        <w:footnoteRef/>
      </w:r>
      <w:r w:rsidRPr="00CB6E0A">
        <w:t xml:space="preserve"> DCLG Live Tables on Dwelling Stock Table 615</w:t>
      </w:r>
    </w:p>
  </w:footnote>
  <w:footnote w:id="7">
    <w:p w:rsidR="00721450" w:rsidRPr="00CB6E0A" w:rsidRDefault="00721450" w:rsidP="006A31AE">
      <w:pPr>
        <w:pStyle w:val="Default"/>
        <w:rPr>
          <w:color w:val="auto"/>
          <w:sz w:val="18"/>
          <w:szCs w:val="18"/>
        </w:rPr>
      </w:pPr>
      <w:r w:rsidRPr="00CB6E0A">
        <w:rPr>
          <w:rStyle w:val="FootnoteReference"/>
          <w:color w:val="auto"/>
        </w:rPr>
        <w:footnoteRef/>
      </w:r>
      <w:r w:rsidRPr="00CB6E0A">
        <w:rPr>
          <w:color w:val="auto"/>
        </w:rPr>
        <w:t xml:space="preserve"> </w:t>
      </w:r>
      <w:r w:rsidRPr="00CB6E0A">
        <w:rPr>
          <w:rFonts w:ascii="Arial" w:hAnsi="Arial" w:cs="Arial"/>
          <w:color w:val="auto"/>
          <w:sz w:val="18"/>
          <w:szCs w:val="18"/>
          <w:u w:val="single"/>
        </w:rPr>
        <w:t>croydon.gov.uk/contents/departments/planningandregeneration/pdf/912686/917223/localhousingmarketassessment</w:t>
      </w:r>
    </w:p>
  </w:footnote>
  <w:footnote w:id="8">
    <w:p w:rsidR="00721450" w:rsidRPr="00CB6E0A" w:rsidRDefault="00721450" w:rsidP="006A31AE">
      <w:pPr>
        <w:pStyle w:val="FootnoteText"/>
      </w:pPr>
      <w:r w:rsidRPr="00CB6E0A">
        <w:rPr>
          <w:rStyle w:val="FootnoteReference"/>
        </w:rPr>
        <w:footnoteRef/>
      </w:r>
      <w:r w:rsidRPr="00CB6E0A">
        <w:t xml:space="preserve"> GLA Net additional dwellings, total dwellings, and persons per dwelling, Borough, 2015</w:t>
      </w:r>
    </w:p>
  </w:footnote>
  <w:footnote w:id="9">
    <w:p w:rsidR="00721450" w:rsidRDefault="00721450" w:rsidP="006A31AE">
      <w:pPr>
        <w:pStyle w:val="FootnoteText"/>
      </w:pPr>
      <w:r>
        <w:rPr>
          <w:rStyle w:val="FootnoteReference"/>
        </w:rPr>
        <w:footnoteRef/>
      </w:r>
      <w:r>
        <w:t xml:space="preserve"> Homelessness Review and Strategy 2018.</w:t>
      </w:r>
    </w:p>
  </w:footnote>
  <w:footnote w:id="10">
    <w:p w:rsidR="00721450" w:rsidRDefault="00721450" w:rsidP="007B2CA0">
      <w:pPr>
        <w:pStyle w:val="FootnoteText"/>
      </w:pPr>
      <w:r>
        <w:rPr>
          <w:rStyle w:val="FootnoteReference"/>
        </w:rPr>
        <w:footnoteRef/>
      </w:r>
      <w:r>
        <w:t xml:space="preserve"> PHE, </w:t>
      </w:r>
      <w:hyperlink r:id="rId2" w:history="1">
        <w:r>
          <w:rPr>
            <w:rStyle w:val="Hyperlink1"/>
          </w:rPr>
          <w:t>Child Health Profiles</w:t>
        </w:r>
      </w:hyperlink>
      <w:r>
        <w:t xml:space="preserve"> (based on data submitted to PHE)</w:t>
      </w:r>
    </w:p>
  </w:footnote>
  <w:footnote w:id="11">
    <w:p w:rsidR="00721450" w:rsidRDefault="00721450" w:rsidP="006A31AE">
      <w:pPr>
        <w:pStyle w:val="FootnoteText"/>
      </w:pPr>
      <w:r>
        <w:rPr>
          <w:rStyle w:val="FootnoteReference"/>
        </w:rPr>
        <w:footnoteRef/>
      </w:r>
      <w:r>
        <w:t xml:space="preserve"> PHE, </w:t>
      </w:r>
      <w:hyperlink r:id="rId3" w:history="1">
        <w:r w:rsidRPr="00A37741">
          <w:rPr>
            <w:rStyle w:val="Hyperlink1"/>
          </w:rPr>
          <w:t>Public Health Outcomes Framework</w:t>
        </w:r>
      </w:hyperlink>
      <w:r>
        <w:t xml:space="preserve"> (based on NHS </w:t>
      </w:r>
      <w:r w:rsidRPr="008C5D0D">
        <w:t>Cover of Vaccination Evaluated Rapidly (COVER) data</w:t>
      </w:r>
      <w:r>
        <w:t>)</w:t>
      </w:r>
    </w:p>
  </w:footnote>
  <w:footnote w:id="12">
    <w:p w:rsidR="00721450" w:rsidRDefault="00721450" w:rsidP="00FC32DA">
      <w:pPr>
        <w:pStyle w:val="FootnoteText"/>
      </w:pPr>
      <w:r>
        <w:rPr>
          <w:rStyle w:val="FootnoteReference"/>
        </w:rPr>
        <w:footnoteRef/>
      </w:r>
      <w:r>
        <w:t xml:space="preserve"> PHE, </w:t>
      </w:r>
      <w:hyperlink r:id="rId4" w:history="1">
        <w:r w:rsidRPr="00A37741">
          <w:rPr>
            <w:rStyle w:val="Hyperlink1"/>
          </w:rPr>
          <w:t>Public Health Outcomes Framework</w:t>
        </w:r>
      </w:hyperlink>
      <w:r>
        <w:t xml:space="preserve"> (based on data submitted to the ImmForm website)</w:t>
      </w:r>
    </w:p>
  </w:footnote>
  <w:footnote w:id="13">
    <w:p w:rsidR="00721450" w:rsidRDefault="00721450" w:rsidP="006A31AE">
      <w:pPr>
        <w:pStyle w:val="FootnoteText"/>
      </w:pPr>
      <w:r>
        <w:rPr>
          <w:rStyle w:val="FootnoteReference"/>
        </w:rPr>
        <w:footnoteRef/>
      </w:r>
      <w:r>
        <w:t xml:space="preserve"> PHE, </w:t>
      </w:r>
      <w:hyperlink r:id="rId5" w:history="1">
        <w:r w:rsidRPr="00DD6A05">
          <w:rPr>
            <w:rStyle w:val="Hyperlink1"/>
          </w:rPr>
          <w:t>NCMP Profiles</w:t>
        </w:r>
      </w:hyperlink>
      <w:r>
        <w:t xml:space="preserve"> (based on National Childhood Measurement Programme data)</w:t>
      </w:r>
    </w:p>
  </w:footnote>
  <w:footnote w:id="14">
    <w:p w:rsidR="00721450" w:rsidRDefault="00721450" w:rsidP="006A31AE">
      <w:pPr>
        <w:pStyle w:val="FootnoteText"/>
      </w:pPr>
      <w:r>
        <w:rPr>
          <w:rStyle w:val="FootnoteReference"/>
        </w:rPr>
        <w:footnoteRef/>
      </w:r>
      <w:r>
        <w:t xml:space="preserve"> PHE, </w:t>
      </w:r>
      <w:hyperlink r:id="rId6" w:history="1">
        <w:r w:rsidRPr="00DD6A05">
          <w:rPr>
            <w:rStyle w:val="Hyperlink1"/>
          </w:rPr>
          <w:t>NCMP Profiles</w:t>
        </w:r>
      </w:hyperlink>
      <w:r>
        <w:t xml:space="preserve"> (based on National Childhood Measurement Programme data)</w:t>
      </w:r>
    </w:p>
  </w:footnote>
  <w:footnote w:id="15">
    <w:p w:rsidR="00721450" w:rsidRDefault="00721450" w:rsidP="006A31AE">
      <w:pPr>
        <w:pStyle w:val="FootnoteText"/>
      </w:pPr>
      <w:r>
        <w:rPr>
          <w:rStyle w:val="FootnoteReference"/>
        </w:rPr>
        <w:footnoteRef/>
      </w:r>
      <w:r>
        <w:t xml:space="preserve"> PHE, </w:t>
      </w:r>
      <w:hyperlink r:id="rId7" w:history="1">
        <w:r>
          <w:rPr>
            <w:rStyle w:val="Hyperlink1"/>
          </w:rPr>
          <w:t>Sexual Health Profiles</w:t>
        </w:r>
      </w:hyperlink>
      <w:r>
        <w:t xml:space="preserve"> (based on ONS conception statistics)</w:t>
      </w:r>
    </w:p>
  </w:footnote>
  <w:footnote w:id="16">
    <w:p w:rsidR="00721450" w:rsidRDefault="00721450" w:rsidP="006A31AE">
      <w:pPr>
        <w:pStyle w:val="FootnoteText"/>
      </w:pPr>
      <w:r>
        <w:rPr>
          <w:rStyle w:val="FootnoteReference"/>
        </w:rPr>
        <w:footnoteRef/>
      </w:r>
      <w:r>
        <w:t xml:space="preserve"> ONS, </w:t>
      </w:r>
      <w:hyperlink r:id="rId8" w:history="1">
        <w:r w:rsidRPr="001A61DE">
          <w:rPr>
            <w:rStyle w:val="Hyperlink1"/>
          </w:rPr>
          <w:t>Conception Statistics</w:t>
        </w:r>
      </w:hyperlink>
    </w:p>
  </w:footnote>
  <w:footnote w:id="17">
    <w:p w:rsidR="00721450" w:rsidRDefault="00721450" w:rsidP="006A31AE">
      <w:pPr>
        <w:pStyle w:val="FootnoteText"/>
      </w:pPr>
      <w:r>
        <w:rPr>
          <w:rStyle w:val="FootnoteReference"/>
        </w:rPr>
        <w:footnoteRef/>
      </w:r>
      <w:r>
        <w:t xml:space="preserve"> PHE, </w:t>
      </w:r>
      <w:hyperlink r:id="rId9" w:history="1">
        <w:r>
          <w:rPr>
            <w:rStyle w:val="Hyperlink1"/>
          </w:rPr>
          <w:t>Sexual Health Profiles</w:t>
        </w:r>
      </w:hyperlink>
      <w:r>
        <w:t xml:space="preserve"> (based on DH abortion statistics)</w:t>
      </w:r>
    </w:p>
  </w:footnote>
  <w:footnote w:id="18">
    <w:p w:rsidR="00721450" w:rsidRPr="001727BF" w:rsidRDefault="00721450" w:rsidP="006A31AE">
      <w:pPr>
        <w:pStyle w:val="FootnoteText"/>
      </w:pPr>
      <w:r>
        <w:rPr>
          <w:rStyle w:val="FootnoteReference"/>
        </w:rPr>
        <w:footnoteRef/>
      </w:r>
      <w:r>
        <w:t xml:space="preserve"> PHE, </w:t>
      </w:r>
      <w:hyperlink r:id="rId10" w:history="1">
        <w:r>
          <w:rPr>
            <w:rStyle w:val="Hyperlink1"/>
          </w:rPr>
          <w:t>Sexual Health Profiles</w:t>
        </w:r>
      </w:hyperlink>
      <w:r>
        <w:t xml:space="preserve"> (based on ONS conception statistics)</w:t>
      </w:r>
    </w:p>
  </w:footnote>
  <w:footnote w:id="19">
    <w:p w:rsidR="00721450" w:rsidRDefault="00721450" w:rsidP="006A31AE">
      <w:pPr>
        <w:pStyle w:val="FootnoteText"/>
      </w:pPr>
      <w:r>
        <w:rPr>
          <w:rStyle w:val="FootnoteReference"/>
        </w:rPr>
        <w:footnoteRef/>
      </w:r>
      <w:r>
        <w:t xml:space="preserve"> ONS, </w:t>
      </w:r>
      <w:hyperlink r:id="rId11" w:history="1">
        <w:r w:rsidRPr="001A61DE">
          <w:rPr>
            <w:rStyle w:val="Hyperlink1"/>
          </w:rPr>
          <w:t>Conception Statistics</w:t>
        </w:r>
      </w:hyperlink>
    </w:p>
  </w:footnote>
  <w:footnote w:id="20">
    <w:p w:rsidR="00721450" w:rsidRDefault="00721450" w:rsidP="006A31AE">
      <w:pPr>
        <w:pStyle w:val="FootnoteText"/>
      </w:pPr>
      <w:r>
        <w:rPr>
          <w:rStyle w:val="FootnoteReference"/>
        </w:rPr>
        <w:footnoteRef/>
      </w:r>
      <w:r>
        <w:t xml:space="preserve"> PHE, </w:t>
      </w:r>
      <w:hyperlink r:id="rId12" w:history="1">
        <w:r>
          <w:rPr>
            <w:rStyle w:val="Hyperlink1"/>
          </w:rPr>
          <w:t>Sexual Health Profiles</w:t>
        </w:r>
      </w:hyperlink>
      <w:r w:rsidRPr="001727BF">
        <w:rPr>
          <w:rStyle w:val="Hyperlink1"/>
        </w:rPr>
        <w:t xml:space="preserve"> (based on submissions to PHE)</w:t>
      </w:r>
    </w:p>
  </w:footnote>
  <w:footnote w:id="21">
    <w:p w:rsidR="00721450" w:rsidRDefault="00721450" w:rsidP="006A31AE">
      <w:pPr>
        <w:pStyle w:val="FootnoteText"/>
      </w:pPr>
      <w:r>
        <w:rPr>
          <w:rStyle w:val="FootnoteReference"/>
        </w:rPr>
        <w:footnoteRef/>
      </w:r>
      <w:r>
        <w:t xml:space="preserve"> PHE, </w:t>
      </w:r>
      <w:hyperlink r:id="rId13" w:history="1">
        <w:r>
          <w:rPr>
            <w:rStyle w:val="Hyperlink1"/>
          </w:rPr>
          <w:t>Sexual Health Profiles</w:t>
        </w:r>
      </w:hyperlink>
      <w:r w:rsidRPr="001727BF">
        <w:rPr>
          <w:rStyle w:val="Hyperlink1"/>
        </w:rPr>
        <w:t xml:space="preserve"> (based on submissions to PHE)</w:t>
      </w:r>
    </w:p>
  </w:footnote>
  <w:footnote w:id="22">
    <w:p w:rsidR="00721450" w:rsidRDefault="00721450" w:rsidP="006A31AE">
      <w:pPr>
        <w:pStyle w:val="FootnoteText"/>
      </w:pPr>
      <w:r>
        <w:rPr>
          <w:rStyle w:val="FootnoteReference"/>
        </w:rPr>
        <w:footnoteRef/>
      </w:r>
      <w:r>
        <w:t xml:space="preserve"> PHE, </w:t>
      </w:r>
      <w:hyperlink r:id="rId14" w:history="1">
        <w:r w:rsidRPr="00324FC8">
          <w:rPr>
            <w:rStyle w:val="Hyperlink1"/>
          </w:rPr>
          <w:t>Public Health Profiles</w:t>
        </w:r>
      </w:hyperlink>
      <w:r>
        <w:t xml:space="preserve"> (based on the Active Lives survey, Sport England) </w:t>
      </w:r>
    </w:p>
  </w:footnote>
  <w:footnote w:id="23">
    <w:p w:rsidR="00721450" w:rsidRDefault="00721450" w:rsidP="006A31AE">
      <w:pPr>
        <w:pStyle w:val="FootnoteText"/>
      </w:pPr>
      <w:r>
        <w:rPr>
          <w:rStyle w:val="FootnoteReference"/>
        </w:rPr>
        <w:footnoteRef/>
      </w:r>
      <w:r>
        <w:t xml:space="preserve"> PHE, </w:t>
      </w:r>
      <w:hyperlink r:id="rId15" w:history="1">
        <w:r w:rsidRPr="00A37741">
          <w:rPr>
            <w:rStyle w:val="Hyperlink1"/>
          </w:rPr>
          <w:t>Public Health Outcomes Framework</w:t>
        </w:r>
      </w:hyperlink>
      <w:r>
        <w:t xml:space="preserve"> (based on data submitted to the ImmForm website)</w:t>
      </w:r>
    </w:p>
  </w:footnote>
  <w:footnote w:id="24">
    <w:p w:rsidR="00721450" w:rsidRDefault="00721450" w:rsidP="00FC459D">
      <w:pPr>
        <w:pStyle w:val="FootnoteText"/>
      </w:pPr>
      <w:r>
        <w:rPr>
          <w:rStyle w:val="FootnoteReference"/>
        </w:rPr>
        <w:footnoteRef/>
      </w:r>
      <w:r>
        <w:t xml:space="preserve"> ONS, </w:t>
      </w:r>
      <w:hyperlink r:id="rId16" w:history="1">
        <w:r w:rsidRPr="00942CB2">
          <w:rPr>
            <w:rStyle w:val="Hyperlink1"/>
          </w:rPr>
          <w:t>Estimates of Personal Wellbeing</w:t>
        </w:r>
      </w:hyperlink>
      <w:r>
        <w:t xml:space="preserve"> (based on the Annual Population Survey, ONS)</w:t>
      </w:r>
    </w:p>
  </w:footnote>
  <w:footnote w:id="25">
    <w:p w:rsidR="00721450" w:rsidRDefault="00721450" w:rsidP="006A31AE">
      <w:pPr>
        <w:pStyle w:val="FootnoteText"/>
      </w:pPr>
      <w:r>
        <w:rPr>
          <w:rStyle w:val="FootnoteReference"/>
        </w:rPr>
        <w:footnoteRef/>
      </w:r>
      <w:r>
        <w:t xml:space="preserve"> ONS, </w:t>
      </w:r>
      <w:hyperlink r:id="rId17" w:history="1">
        <w:r w:rsidRPr="00942CB2">
          <w:rPr>
            <w:rStyle w:val="Hyperlink1"/>
          </w:rPr>
          <w:t>Estimates of Personal Wellbeing</w:t>
        </w:r>
      </w:hyperlink>
      <w:r>
        <w:t xml:space="preserve"> (based on the Annual Population Survey, ONS)</w:t>
      </w:r>
    </w:p>
  </w:footnote>
  <w:footnote w:id="26">
    <w:p w:rsidR="00721450" w:rsidRDefault="00721450" w:rsidP="006A31AE">
      <w:pPr>
        <w:pStyle w:val="FootnoteText"/>
      </w:pPr>
      <w:r>
        <w:rPr>
          <w:rStyle w:val="FootnoteReference"/>
        </w:rPr>
        <w:footnoteRef/>
      </w:r>
      <w:r>
        <w:t xml:space="preserve"> PHE, </w:t>
      </w:r>
      <w:hyperlink r:id="rId18" w:history="1">
        <w:r w:rsidRPr="00324FC8">
          <w:rPr>
            <w:rStyle w:val="Hyperlink1"/>
          </w:rPr>
          <w:t>Public Health Profiles</w:t>
        </w:r>
      </w:hyperlink>
      <w:r>
        <w:t xml:space="preserve"> (based on the Enhanced Tuberculosis Surveillance system)</w:t>
      </w:r>
    </w:p>
  </w:footnote>
  <w:footnote w:id="27">
    <w:p w:rsidR="00721450" w:rsidRDefault="00721450" w:rsidP="006A31AE">
      <w:pPr>
        <w:pStyle w:val="FootnoteText"/>
      </w:pPr>
      <w:r>
        <w:rPr>
          <w:rStyle w:val="FootnoteReference"/>
        </w:rPr>
        <w:footnoteRef/>
      </w:r>
      <w:r>
        <w:t xml:space="preserve"> PHE, </w:t>
      </w:r>
      <w:hyperlink r:id="rId19" w:history="1">
        <w:r w:rsidRPr="00A37741">
          <w:rPr>
            <w:rStyle w:val="Hyperlink1"/>
          </w:rPr>
          <w:t>Public Health Outcomes Framework</w:t>
        </w:r>
      </w:hyperlink>
      <w:r>
        <w:t xml:space="preserve"> (based on Hospital Episodes Statistics)</w:t>
      </w:r>
    </w:p>
  </w:footnote>
  <w:footnote w:id="28">
    <w:p w:rsidR="00721450" w:rsidRDefault="00721450" w:rsidP="002F173F">
      <w:pPr>
        <w:pStyle w:val="FootnoteText"/>
      </w:pPr>
      <w:r>
        <w:rPr>
          <w:rStyle w:val="FootnoteReference"/>
        </w:rPr>
        <w:footnoteRef/>
      </w:r>
      <w:r>
        <w:t xml:space="preserve"> NDTMS Profiles</w:t>
      </w:r>
    </w:p>
  </w:footnote>
  <w:footnote w:id="29">
    <w:p w:rsidR="00721450" w:rsidRDefault="00721450" w:rsidP="006A31AE">
      <w:pPr>
        <w:pStyle w:val="FootnoteText"/>
      </w:pPr>
      <w:r>
        <w:rPr>
          <w:rStyle w:val="FootnoteReference"/>
        </w:rPr>
        <w:footnoteRef/>
      </w:r>
      <w:r>
        <w:t xml:space="preserve"> PHE, </w:t>
      </w:r>
      <w:hyperlink r:id="rId20" w:history="1">
        <w:r w:rsidRPr="00324FC8">
          <w:rPr>
            <w:rStyle w:val="Hyperlink1"/>
          </w:rPr>
          <w:t>Public Health Profiles</w:t>
        </w:r>
      </w:hyperlink>
      <w:r>
        <w:t xml:space="preserve"> (based on ONS health-state life expectancies)</w:t>
      </w:r>
    </w:p>
  </w:footnote>
  <w:footnote w:id="30">
    <w:p w:rsidR="00721450" w:rsidRDefault="00721450" w:rsidP="006A31AE">
      <w:pPr>
        <w:pStyle w:val="FootnoteText"/>
      </w:pPr>
    </w:p>
    <w:p w:rsidR="00721450" w:rsidRDefault="00721450" w:rsidP="006A31AE">
      <w:pPr>
        <w:pStyle w:val="FootnoteText"/>
      </w:pPr>
      <w:r>
        <w:rPr>
          <w:rStyle w:val="FootnoteReference"/>
        </w:rPr>
        <w:footnoteRef/>
      </w:r>
      <w:r>
        <w:t xml:space="preserve"> PHE, </w:t>
      </w:r>
      <w:hyperlink r:id="rId21" w:history="1">
        <w:r w:rsidRPr="00324FC8">
          <w:rPr>
            <w:rStyle w:val="Hyperlink1"/>
          </w:rPr>
          <w:t>Public Health Profiles</w:t>
        </w:r>
      </w:hyperlink>
      <w:r>
        <w:t xml:space="preserve"> (based on ONS births and deaths data)</w:t>
      </w:r>
    </w:p>
  </w:footnote>
  <w:footnote w:id="31">
    <w:p w:rsidR="00721450" w:rsidRDefault="00721450" w:rsidP="006A31AE">
      <w:pPr>
        <w:pStyle w:val="FootnoteText"/>
      </w:pPr>
      <w:r>
        <w:rPr>
          <w:rStyle w:val="FootnoteReference"/>
        </w:rPr>
        <w:footnoteRef/>
      </w:r>
      <w:r>
        <w:t xml:space="preserve"> PHE, </w:t>
      </w:r>
      <w:hyperlink r:id="rId22" w:history="1">
        <w:r w:rsidRPr="006E7604">
          <w:rPr>
            <w:rStyle w:val="Hyperlink1"/>
          </w:rPr>
          <w:t>Local Tobacco Control Profiles</w:t>
        </w:r>
      </w:hyperlink>
      <w:r>
        <w:t xml:space="preserve"> (based on ONS mortality data)</w:t>
      </w:r>
    </w:p>
    <w:p w:rsidR="00721450" w:rsidRDefault="00721450" w:rsidP="006A31AE">
      <w:pPr>
        <w:pStyle w:val="FootnoteText"/>
      </w:pPr>
    </w:p>
    <w:p w:rsidR="00721450" w:rsidRDefault="00721450" w:rsidP="006A31AE">
      <w:pPr>
        <w:pStyle w:val="FootnoteText"/>
      </w:pPr>
    </w:p>
    <w:p w:rsidR="00721450" w:rsidRDefault="00721450" w:rsidP="006A31AE">
      <w:pPr>
        <w:pStyle w:val="FootnoteText"/>
      </w:pPr>
    </w:p>
    <w:p w:rsidR="00721450" w:rsidRDefault="00721450" w:rsidP="006A31AE">
      <w:pPr>
        <w:pStyle w:val="FootnoteText"/>
      </w:pPr>
    </w:p>
  </w:footnote>
  <w:footnote w:id="32">
    <w:p w:rsidR="00721450" w:rsidRDefault="00721450" w:rsidP="006A31AE">
      <w:pPr>
        <w:pStyle w:val="FootnoteText"/>
      </w:pPr>
      <w:r>
        <w:rPr>
          <w:rStyle w:val="FootnoteReference"/>
        </w:rPr>
        <w:footnoteRef/>
      </w:r>
      <w:r>
        <w:t xml:space="preserve"> PHE, </w:t>
      </w:r>
      <w:hyperlink r:id="rId23" w:history="1">
        <w:r w:rsidRPr="00A37741">
          <w:rPr>
            <w:rStyle w:val="Hyperlink1"/>
          </w:rPr>
          <w:t>Public Health Outcomes Framework</w:t>
        </w:r>
      </w:hyperlink>
      <w:r>
        <w:t xml:space="preserve"> (based on ONS mortality data)</w:t>
      </w:r>
    </w:p>
  </w:footnote>
  <w:footnote w:id="33">
    <w:p w:rsidR="00721450" w:rsidRDefault="00721450" w:rsidP="006A31AE">
      <w:pPr>
        <w:pStyle w:val="FootnoteText"/>
      </w:pPr>
      <w:r>
        <w:rPr>
          <w:rStyle w:val="FootnoteReference"/>
        </w:rPr>
        <w:footnoteRef/>
      </w:r>
      <w:r>
        <w:t xml:space="preserve"> </w:t>
      </w:r>
      <w:r w:rsidRPr="007F5CA6">
        <w:t>Safeguarding Adults Collection (SAC)</w:t>
      </w:r>
      <w:r>
        <w:t>, 2017/2018</w:t>
      </w:r>
    </w:p>
  </w:footnote>
  <w:footnote w:id="34">
    <w:p w:rsidR="00721450" w:rsidRDefault="00721450" w:rsidP="006A31AE">
      <w:pPr>
        <w:pStyle w:val="FootnoteText"/>
      </w:pPr>
      <w:r>
        <w:rPr>
          <w:rStyle w:val="FootnoteReference"/>
        </w:rPr>
        <w:footnoteRef/>
      </w:r>
      <w:r>
        <w:t xml:space="preserve"> HSICS ASCOF</w:t>
      </w:r>
    </w:p>
  </w:footnote>
  <w:footnote w:id="35">
    <w:p w:rsidR="00721450" w:rsidRDefault="00721450">
      <w:pPr>
        <w:pStyle w:val="FootnoteText"/>
      </w:pPr>
      <w:r>
        <w:rPr>
          <w:rStyle w:val="FootnoteReference"/>
        </w:rPr>
        <w:footnoteRef/>
      </w:r>
      <w:r>
        <w:t xml:space="preserve"> MOPAC Hate crime dashboard</w:t>
      </w:r>
    </w:p>
  </w:footnote>
  <w:footnote w:id="36">
    <w:p w:rsidR="00721450" w:rsidRDefault="00721450" w:rsidP="006A31AE">
      <w:pPr>
        <w:pStyle w:val="FootnoteText"/>
      </w:pPr>
      <w:r>
        <w:rPr>
          <w:rStyle w:val="FootnoteReference"/>
        </w:rPr>
        <w:footnoteRef/>
      </w:r>
      <w:r>
        <w:t xml:space="preserve"> Croydon Strategic Assessment 2013 p22-23.</w:t>
      </w:r>
    </w:p>
  </w:footnote>
  <w:footnote w:id="37">
    <w:p w:rsidR="00721450" w:rsidRDefault="00721450" w:rsidP="006A31AE">
      <w:pPr>
        <w:pStyle w:val="FootnoteText"/>
      </w:pPr>
      <w:r>
        <w:rPr>
          <w:rStyle w:val="FootnoteReference"/>
        </w:rPr>
        <w:footnoteRef/>
      </w:r>
      <w:r>
        <w:t xml:space="preserve"> Ministry of Justice, Proven re-offending overview data tool.</w:t>
      </w:r>
    </w:p>
  </w:footnote>
  <w:footnote w:id="38">
    <w:p w:rsidR="00721450" w:rsidRPr="00161F8D" w:rsidRDefault="00721450" w:rsidP="006A31AE">
      <w:pPr>
        <w:spacing w:after="0"/>
        <w:rPr>
          <w:kern w:val="36"/>
          <w:sz w:val="20"/>
          <w:szCs w:val="20"/>
        </w:rPr>
      </w:pPr>
      <w:r w:rsidRPr="0021119B">
        <w:rPr>
          <w:rStyle w:val="FootnoteReference"/>
        </w:rPr>
        <w:footnoteRef/>
      </w:r>
      <w:r w:rsidRPr="0021119B">
        <w:rPr>
          <w:sz w:val="20"/>
          <w:szCs w:val="20"/>
        </w:rPr>
        <w:t xml:space="preserve"> </w:t>
      </w:r>
      <w:r w:rsidRPr="00161F8D">
        <w:rPr>
          <w:sz w:val="20"/>
          <w:szCs w:val="20"/>
        </w:rPr>
        <w:t xml:space="preserve">DECC, </w:t>
      </w:r>
      <w:r w:rsidRPr="00161F8D">
        <w:rPr>
          <w:kern w:val="36"/>
          <w:sz w:val="20"/>
          <w:szCs w:val="20"/>
        </w:rPr>
        <w:t>UK local authority and regional carbon dioxide emissions national statistics: 2005-2016, updated 2018</w:t>
      </w:r>
    </w:p>
  </w:footnote>
  <w:footnote w:id="39">
    <w:p w:rsidR="00721450" w:rsidRDefault="00721450" w:rsidP="006A31AE">
      <w:pPr>
        <w:pStyle w:val="FootnoteText"/>
      </w:pPr>
      <w:r>
        <w:rPr>
          <w:rStyle w:val="FootnoteReference"/>
        </w:rPr>
        <w:footnoteRef/>
      </w:r>
      <w:r>
        <w:t xml:space="preserve"> Dft Walking and Cycling (local authority level), Table CW0105</w:t>
      </w:r>
    </w:p>
  </w:footnote>
  <w:footnote w:id="40">
    <w:p w:rsidR="00721450" w:rsidRDefault="00721450" w:rsidP="006A31AE">
      <w:pPr>
        <w:pStyle w:val="FootnoteText"/>
      </w:pPr>
      <w:r>
        <w:rPr>
          <w:rStyle w:val="FootnoteReference"/>
        </w:rPr>
        <w:footnoteRef/>
      </w:r>
      <w:r>
        <w:t xml:space="preserve"> DfT Walking and Cycling Statistics, Table CW0302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1450" w:rsidRPr="006A31AE" w:rsidRDefault="00721450" w:rsidP="006A31AE">
    <w:pPr>
      <w:pStyle w:val="Header"/>
      <w:rPr>
        <w:b/>
        <w:color w:val="808080"/>
      </w:rPr>
    </w:pPr>
    <w:r w:rsidRPr="006A31AE">
      <w:rPr>
        <w:b/>
        <w:noProof/>
        <w:color w:val="808080"/>
        <w:lang w:eastAsia="en-GB"/>
      </w:rPr>
      <mc:AlternateContent>
        <mc:Choice Requires="wps">
          <w:drawing>
            <wp:anchor distT="4294967295" distB="4294967295" distL="114300" distR="114300" simplePos="0" relativeHeight="251651584" behindDoc="0" locked="0" layoutInCell="1" allowOverlap="1" wp14:anchorId="3AFFD8D5" wp14:editId="042E2C4A">
              <wp:simplePos x="0" y="0"/>
              <wp:positionH relativeFrom="column">
                <wp:posOffset>-1028700</wp:posOffset>
              </wp:positionH>
              <wp:positionV relativeFrom="paragraph">
                <wp:posOffset>388619</wp:posOffset>
              </wp:positionV>
              <wp:extent cx="10829925" cy="0"/>
              <wp:effectExtent l="0" t="0" r="28575" b="19050"/>
              <wp:wrapNone/>
              <wp:docPr id="6"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829925" cy="0"/>
                      </a:xfrm>
                      <a:prstGeom prst="line">
                        <a:avLst/>
                      </a:prstGeom>
                      <a:noFill/>
                      <a:ln w="25400" cap="flat" cmpd="sng" algn="ctr">
                        <a:solidFill>
                          <a:sysClr val="window" lastClr="FFFFFF">
                            <a:lumMod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83A996C" id="Straight Connector 1"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81pt,30.6pt" to="771.75pt,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" strokecolor="#7f7f7f" strokeweight="2pt">
              <o:lock v:ext="edit" shapetype="f"/>
            </v:line>
          </w:pict>
        </mc:Fallback>
      </mc:AlternateContent>
    </w:r>
  </w:p>
  <w:p w:rsidR="00721450" w:rsidRDefault="00721450">
    <w:pPr>
      <w:pStyle w:val="Heade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1450" w:rsidRPr="006A31AE" w:rsidRDefault="00721450">
    <w:pPr>
      <w:pStyle w:val="Header"/>
      <w:rPr>
        <w:b/>
        <w:color w:val="808080"/>
      </w:rPr>
    </w:pPr>
    <w:r w:rsidRPr="006A31AE">
      <w:rPr>
        <w:b/>
        <w:noProof/>
        <w:color w:val="FFFFFF"/>
        <w:lang w:eastAsia="en-GB"/>
      </w:rPr>
      <mc:AlternateContent>
        <mc:Choice Requires="wps">
          <w:drawing>
            <wp:anchor distT="4294967294" distB="4294967294" distL="114300" distR="114300" simplePos="0" relativeHeight="251659776" behindDoc="0" locked="0" layoutInCell="1" allowOverlap="1" wp14:anchorId="74F35D1B" wp14:editId="3747C6C6">
              <wp:simplePos x="0" y="0"/>
              <wp:positionH relativeFrom="column">
                <wp:posOffset>-914400</wp:posOffset>
              </wp:positionH>
              <wp:positionV relativeFrom="paragraph">
                <wp:posOffset>436244</wp:posOffset>
              </wp:positionV>
              <wp:extent cx="10782300" cy="0"/>
              <wp:effectExtent l="0" t="0" r="19050" b="19050"/>
              <wp:wrapNone/>
              <wp:docPr id="13533"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82300" cy="0"/>
                      </a:xfrm>
                      <a:prstGeom prst="line">
                        <a:avLst/>
                      </a:prstGeom>
                      <a:noFill/>
                      <a:ln w="25400" cap="flat" cmpd="sng" algn="ctr">
                        <a:solidFill>
                          <a:sysClr val="window" lastClr="FFFFFF">
                            <a:lumMod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7AA2358" id="Straight Connector 10" o:spid="_x0000_s1026" style="position:absolute;z-index:25167257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in,34.35pt" to="777pt,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" strokecolor="#7f7f7f" strokeweight="2pt">
              <o:lock v:ext="edit" shapetype="f"/>
            </v:line>
          </w:pict>
        </mc:Fallback>
      </mc:AlternateContent>
    </w:r>
    <w:r w:rsidRPr="006A31AE">
      <w:rPr>
        <w:b/>
        <w:color w:val="808080"/>
      </w:rPr>
      <w:t xml:space="preserve">Borough Profile </w:t>
    </w:r>
    <w:r>
      <w:rPr>
        <w:b/>
        <w:color w:val="808080"/>
      </w:rPr>
      <w:t>- Housing</w:t>
    </w:r>
    <w:r w:rsidRPr="006A31AE">
      <w:rPr>
        <w:b/>
        <w:color w:val="808080"/>
      </w:rPr>
      <w:tab/>
      <w:t xml:space="preserve">                                                            </w:t>
    </w:r>
    <w:r w:rsidRPr="006A31AE">
      <w:rPr>
        <w:b/>
        <w:color w:val="808080"/>
      </w:rPr>
      <w:tab/>
    </w:r>
    <w:r w:rsidRPr="006A31AE">
      <w:rPr>
        <w:b/>
        <w:noProof/>
        <w:color w:val="808080"/>
        <w:lang w:eastAsia="en-GB"/>
      </w:rPr>
      <w:drawing>
        <wp:inline distT="0" distB="0" distL="0" distR="0" wp14:anchorId="57A17E68" wp14:editId="697B4BDF">
          <wp:extent cx="390525" cy="379922"/>
          <wp:effectExtent l="19050" t="0" r="9525" b="0"/>
          <wp:docPr id="13534" name="Picture 6" descr="Peo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ople.png"/>
                  <pic:cNvPicPr/>
                </pic:nvPicPr>
                <pic:blipFill>
                  <a:blip r:embed="rId1">
                    <a:duotone>
                      <a:schemeClr val="bg2">
                        <a:shade val="45000"/>
                        <a:satMod val="135000"/>
                      </a:schemeClr>
                      <a:prstClr val="white"/>
                    </a:duotone>
                  </a:blip>
                  <a:stretch>
                    <a:fillRect/>
                  </a:stretch>
                </pic:blipFill>
                <pic:spPr>
                  <a:xfrm>
                    <a:off x="0" y="0"/>
                    <a:ext cx="390419" cy="379819"/>
                  </a:xfrm>
                  <a:prstGeom prst="rect">
                    <a:avLst/>
                  </a:prstGeom>
                </pic:spPr>
              </pic:pic>
            </a:graphicData>
          </a:graphic>
        </wp:inline>
      </w:drawing>
    </w:r>
    <w:r w:rsidRPr="006A31AE">
      <w:rPr>
        <w:b/>
        <w:noProof/>
        <w:color w:val="808080"/>
        <w:lang w:eastAsia="en-GB"/>
      </w:rPr>
      <w:drawing>
        <wp:inline distT="0" distB="0" distL="0" distR="0" wp14:anchorId="3A1AA006" wp14:editId="2A79E33E">
          <wp:extent cx="352513" cy="372543"/>
          <wp:effectExtent l="19050" t="0" r="9437" b="0"/>
          <wp:docPr id="13535" name="Picture 3" descr="Borough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ough small.png"/>
                  <pic:cNvPicPr/>
                </pic:nvPicPr>
                <pic:blipFill>
                  <a:blip r:embed="rId2">
                    <a:duotone>
                      <a:schemeClr val="bg2">
                        <a:shade val="45000"/>
                        <a:satMod val="135000"/>
                      </a:schemeClr>
                      <a:prstClr val="white"/>
                    </a:duotone>
                  </a:blip>
                  <a:stretch>
                    <a:fillRect/>
                  </a:stretch>
                </pic:blipFill>
                <pic:spPr>
                  <a:xfrm>
                    <a:off x="0" y="0"/>
                    <a:ext cx="352513" cy="372543"/>
                  </a:xfrm>
                  <a:prstGeom prst="rect">
                    <a:avLst/>
                  </a:prstGeom>
                </pic:spPr>
              </pic:pic>
            </a:graphicData>
          </a:graphic>
        </wp:inline>
      </w:drawing>
    </w:r>
    <w:r w:rsidRPr="006A31AE">
      <w:rPr>
        <w:b/>
        <w:noProof/>
        <w:color w:val="808080"/>
        <w:lang w:eastAsia="en-GB"/>
      </w:rPr>
      <w:drawing>
        <wp:inline distT="0" distB="0" distL="0" distR="0" wp14:anchorId="210F8BEE" wp14:editId="6C77EB19">
          <wp:extent cx="252771" cy="313077"/>
          <wp:effectExtent l="19050" t="0" r="0" b="0"/>
          <wp:docPr id="13664" name="Picture 18" descr="co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ns.png"/>
                  <pic:cNvPicPr/>
                </pic:nvPicPr>
                <pic:blipFill>
                  <a:blip r:embed="rId3">
                    <a:duotone>
                      <a:schemeClr val="bg2">
                        <a:shade val="45000"/>
                        <a:satMod val="135000"/>
                      </a:schemeClr>
                      <a:prstClr val="white"/>
                    </a:duotone>
                  </a:blip>
                  <a:stretch>
                    <a:fillRect/>
                  </a:stretch>
                </pic:blipFill>
                <pic:spPr>
                  <a:xfrm>
                    <a:off x="0" y="0"/>
                    <a:ext cx="252771" cy="313077"/>
                  </a:xfrm>
                  <a:prstGeom prst="rect">
                    <a:avLst/>
                  </a:prstGeom>
                </pic:spPr>
              </pic:pic>
            </a:graphicData>
          </a:graphic>
        </wp:inline>
      </w:drawing>
    </w:r>
    <w:r w:rsidRPr="006A31AE">
      <w:rPr>
        <w:b/>
        <w:noProof/>
        <w:color w:val="808080"/>
        <w:lang w:eastAsia="en-GB"/>
      </w:rPr>
      <w:drawing>
        <wp:inline distT="0" distB="0" distL="0" distR="0" wp14:anchorId="4F82FC6B" wp14:editId="6F1A62B8">
          <wp:extent cx="347420" cy="326258"/>
          <wp:effectExtent l="19050" t="0" r="0" b="0"/>
          <wp:docPr id="13665" name="Picture 0" descr="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png"/>
                  <pic:cNvPicPr/>
                </pic:nvPicPr>
                <pic:blipFill>
                  <a:blip r:embed="rId4">
                    <a:duotone>
                      <a:schemeClr val="bg2">
                        <a:shade val="45000"/>
                        <a:satMod val="135000"/>
                      </a:schemeClr>
                      <a:prstClr val="white"/>
                    </a:duotone>
                  </a:blip>
                  <a:stretch>
                    <a:fillRect/>
                  </a:stretch>
                </pic:blipFill>
                <pic:spPr>
                  <a:xfrm>
                    <a:off x="0" y="0"/>
                    <a:ext cx="347420" cy="326258"/>
                  </a:xfrm>
                  <a:prstGeom prst="rect">
                    <a:avLst/>
                  </a:prstGeom>
                </pic:spPr>
              </pic:pic>
            </a:graphicData>
          </a:graphic>
        </wp:inline>
      </w:drawing>
    </w:r>
    <w:r w:rsidRPr="006A31AE">
      <w:rPr>
        <w:b/>
        <w:noProof/>
        <w:color w:val="808080"/>
        <w:lang w:eastAsia="en-GB"/>
      </w:rPr>
      <w:drawing>
        <wp:inline distT="0" distB="0" distL="0" distR="0" wp14:anchorId="624A227B" wp14:editId="5119A96A">
          <wp:extent cx="277850" cy="324394"/>
          <wp:effectExtent l="19050" t="0" r="7900" b="0"/>
          <wp:docPr id="13666" name="Picture 17" descr="Ho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png"/>
                  <pic:cNvPicPr/>
                </pic:nvPicPr>
                <pic:blipFill>
                  <a:blip r:embed="rId5">
                    <a:duotone>
                      <a:schemeClr val="bg2">
                        <a:shade val="45000"/>
                        <a:satMod val="135000"/>
                      </a:schemeClr>
                      <a:prstClr val="white"/>
                    </a:duotone>
                  </a:blip>
                  <a:stretch>
                    <a:fillRect/>
                  </a:stretch>
                </pic:blipFill>
                <pic:spPr>
                  <a:xfrm>
                    <a:off x="0" y="0"/>
                    <a:ext cx="277850" cy="324394"/>
                  </a:xfrm>
                  <a:prstGeom prst="rect">
                    <a:avLst/>
                  </a:prstGeom>
                </pic:spPr>
              </pic:pic>
            </a:graphicData>
          </a:graphic>
        </wp:inline>
      </w:drawing>
    </w:r>
    <w:r w:rsidRPr="006A31AE">
      <w:rPr>
        <w:b/>
        <w:noProof/>
        <w:color w:val="808080"/>
        <w:lang w:eastAsia="en-GB"/>
      </w:rPr>
      <w:drawing>
        <wp:inline distT="0" distB="0" distL="0" distR="0" wp14:anchorId="60853474" wp14:editId="713A2406">
          <wp:extent cx="512021" cy="321029"/>
          <wp:effectExtent l="19050" t="0" r="2329" b="0"/>
          <wp:docPr id="13667" name="Picture 2" descr="Gradu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uation.png"/>
                  <pic:cNvPicPr/>
                </pic:nvPicPr>
                <pic:blipFill>
                  <a:blip r:embed="rId6">
                    <a:duotone>
                      <a:schemeClr val="bg2">
                        <a:shade val="45000"/>
                        <a:satMod val="135000"/>
                      </a:schemeClr>
                      <a:prstClr val="white"/>
                    </a:duotone>
                  </a:blip>
                  <a:stretch>
                    <a:fillRect/>
                  </a:stretch>
                </pic:blipFill>
                <pic:spPr>
                  <a:xfrm>
                    <a:off x="0" y="0"/>
                    <a:ext cx="512021" cy="321029"/>
                  </a:xfrm>
                  <a:prstGeom prst="rect">
                    <a:avLst/>
                  </a:prstGeom>
                </pic:spPr>
              </pic:pic>
            </a:graphicData>
          </a:graphic>
        </wp:inline>
      </w:drawing>
    </w:r>
    <w:r w:rsidRPr="006A31AE">
      <w:rPr>
        <w:b/>
        <w:noProof/>
        <w:color w:val="808080"/>
        <w:lang w:eastAsia="en-GB"/>
      </w:rPr>
      <w:drawing>
        <wp:inline distT="0" distB="0" distL="0" distR="0" wp14:anchorId="5E84EADF" wp14:editId="2C334E0C">
          <wp:extent cx="466725" cy="266700"/>
          <wp:effectExtent l="19050" t="0" r="9525" b="0"/>
          <wp:docPr id="13668"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
                    <a:duotone>
                      <a:schemeClr val="bg2">
                        <a:shade val="45000"/>
                        <a:satMod val="135000"/>
                      </a:schemeClr>
                      <a:prstClr val="white"/>
                    </a:duotone>
                  </a:blip>
                  <a:srcRect/>
                  <a:stretch>
                    <a:fillRect/>
                  </a:stretch>
                </pic:blipFill>
                <pic:spPr bwMode="auto">
                  <a:xfrm>
                    <a:off x="0" y="0"/>
                    <a:ext cx="466027" cy="266301"/>
                  </a:xfrm>
                  <a:prstGeom prst="rect">
                    <a:avLst/>
                  </a:prstGeom>
                  <a:noFill/>
                  <a:ln w="9525">
                    <a:noFill/>
                    <a:miter lim="800000"/>
                    <a:headEnd/>
                    <a:tailEnd/>
                  </a:ln>
                  <a:effectLst/>
                </pic:spPr>
              </pic:pic>
            </a:graphicData>
          </a:graphic>
        </wp:inline>
      </w:drawing>
    </w:r>
    <w:r w:rsidRPr="006A31AE">
      <w:rPr>
        <w:b/>
        <w:noProof/>
        <w:color w:val="808080"/>
        <w:lang w:eastAsia="en-GB"/>
      </w:rPr>
      <w:drawing>
        <wp:inline distT="0" distB="0" distL="0" distR="0" wp14:anchorId="4745DE74" wp14:editId="5E73D58A">
          <wp:extent cx="295275" cy="295275"/>
          <wp:effectExtent l="19050" t="0" r="9525" b="0"/>
          <wp:docPr id="13669" name="Picture 15"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8">
                    <a:duotone>
                      <a:schemeClr val="bg2">
                        <a:shade val="45000"/>
                        <a:satMod val="135000"/>
                      </a:schemeClr>
                      <a:prstClr val="white"/>
                    </a:duotone>
                  </a:blip>
                  <a:stretch>
                    <a:fillRect/>
                  </a:stretch>
                </pic:blipFill>
                <pic:spPr>
                  <a:xfrm>
                    <a:off x="0" y="0"/>
                    <a:ext cx="295251" cy="295251"/>
                  </a:xfrm>
                  <a:prstGeom prst="rect">
                    <a:avLst/>
                  </a:prstGeom>
                </pic:spPr>
              </pic:pic>
            </a:graphicData>
          </a:graphic>
        </wp:inline>
      </w:drawing>
    </w:r>
    <w:r w:rsidRPr="006A31AE">
      <w:rPr>
        <w:b/>
        <w:noProof/>
        <w:color w:val="808080"/>
        <w:lang w:eastAsia="en-GB"/>
      </w:rPr>
      <w:drawing>
        <wp:inline distT="0" distB="0" distL="0" distR="0" wp14:anchorId="1CD40153" wp14:editId="0C43A01A">
          <wp:extent cx="297362" cy="315475"/>
          <wp:effectExtent l="19050" t="0" r="7438" b="0"/>
          <wp:docPr id="13670" name="Picture 5" descr="Child and elder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 and elderly.png"/>
                  <pic:cNvPicPr/>
                </pic:nvPicPr>
                <pic:blipFill>
                  <a:blip r:embed="rId9"/>
                  <a:stretch>
                    <a:fillRect/>
                  </a:stretch>
                </pic:blipFill>
                <pic:spPr>
                  <a:xfrm>
                    <a:off x="0" y="0"/>
                    <a:ext cx="297362" cy="315475"/>
                  </a:xfrm>
                  <a:prstGeom prst="rect">
                    <a:avLst/>
                  </a:prstGeom>
                </pic:spPr>
              </pic:pic>
            </a:graphicData>
          </a:graphic>
        </wp:inline>
      </w:drawing>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1450" w:rsidRPr="006A31AE" w:rsidRDefault="00721450">
    <w:pPr>
      <w:pStyle w:val="Header"/>
      <w:rPr>
        <w:b/>
        <w:color w:val="808080"/>
      </w:rPr>
    </w:pPr>
    <w:r w:rsidRPr="006A31AE">
      <w:rPr>
        <w:b/>
        <w:noProof/>
        <w:color w:val="FFFFFF"/>
        <w:lang w:eastAsia="en-GB"/>
      </w:rPr>
      <mc:AlternateContent>
        <mc:Choice Requires="wps">
          <w:drawing>
            <wp:anchor distT="4294967294" distB="4294967294" distL="114300" distR="114300" simplePos="0" relativeHeight="251660800" behindDoc="0" locked="0" layoutInCell="1" allowOverlap="1" wp14:anchorId="449DA8D7" wp14:editId="6F631D50">
              <wp:simplePos x="0" y="0"/>
              <wp:positionH relativeFrom="column">
                <wp:posOffset>-914400</wp:posOffset>
              </wp:positionH>
              <wp:positionV relativeFrom="paragraph">
                <wp:posOffset>436244</wp:posOffset>
              </wp:positionV>
              <wp:extent cx="10782300" cy="0"/>
              <wp:effectExtent l="0" t="0" r="19050" b="19050"/>
              <wp:wrapNone/>
              <wp:docPr id="1367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82300" cy="0"/>
                      </a:xfrm>
                      <a:prstGeom prst="line">
                        <a:avLst/>
                      </a:prstGeom>
                      <a:noFill/>
                      <a:ln w="25400" cap="flat" cmpd="sng" algn="ctr">
                        <a:solidFill>
                          <a:sysClr val="window" lastClr="FFFFFF">
                            <a:lumMod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FC88FAA" id="Straight Connector 10" o:spid="_x0000_s1026" style="position:absolute;z-index:2516746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in,34.35pt" to="777pt,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" strokecolor="#7f7f7f" strokeweight="2pt">
              <o:lock v:ext="edit" shapetype="f"/>
            </v:line>
          </w:pict>
        </mc:Fallback>
      </mc:AlternateContent>
    </w:r>
    <w:r w:rsidRPr="006A31AE">
      <w:rPr>
        <w:b/>
        <w:color w:val="808080"/>
      </w:rPr>
      <w:t xml:space="preserve">Borough Profile </w:t>
    </w:r>
    <w:r>
      <w:rPr>
        <w:b/>
        <w:color w:val="808080"/>
      </w:rPr>
      <w:t>- Health</w:t>
    </w:r>
    <w:r w:rsidRPr="006A31AE">
      <w:rPr>
        <w:b/>
        <w:color w:val="808080"/>
      </w:rPr>
      <w:tab/>
      <w:t xml:space="preserve">                                                            </w:t>
    </w:r>
    <w:r w:rsidRPr="006A31AE">
      <w:rPr>
        <w:b/>
        <w:color w:val="808080"/>
      </w:rPr>
      <w:tab/>
    </w:r>
    <w:r w:rsidRPr="006A31AE">
      <w:rPr>
        <w:b/>
        <w:noProof/>
        <w:color w:val="808080"/>
        <w:lang w:eastAsia="en-GB"/>
      </w:rPr>
      <w:drawing>
        <wp:inline distT="0" distB="0" distL="0" distR="0" wp14:anchorId="486884C4" wp14:editId="6CBA3309">
          <wp:extent cx="390525" cy="379922"/>
          <wp:effectExtent l="19050" t="0" r="9525" b="0"/>
          <wp:docPr id="289" name="Picture 6" descr="Peo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ople.png"/>
                  <pic:cNvPicPr/>
                </pic:nvPicPr>
                <pic:blipFill>
                  <a:blip r:embed="rId1">
                    <a:duotone>
                      <a:schemeClr val="bg2">
                        <a:shade val="45000"/>
                        <a:satMod val="135000"/>
                      </a:schemeClr>
                      <a:prstClr val="white"/>
                    </a:duotone>
                  </a:blip>
                  <a:stretch>
                    <a:fillRect/>
                  </a:stretch>
                </pic:blipFill>
                <pic:spPr>
                  <a:xfrm>
                    <a:off x="0" y="0"/>
                    <a:ext cx="390419" cy="379819"/>
                  </a:xfrm>
                  <a:prstGeom prst="rect">
                    <a:avLst/>
                  </a:prstGeom>
                </pic:spPr>
              </pic:pic>
            </a:graphicData>
          </a:graphic>
        </wp:inline>
      </w:drawing>
    </w:r>
    <w:r w:rsidRPr="006A31AE">
      <w:rPr>
        <w:b/>
        <w:noProof/>
        <w:color w:val="808080"/>
        <w:lang w:eastAsia="en-GB"/>
      </w:rPr>
      <w:drawing>
        <wp:inline distT="0" distB="0" distL="0" distR="0" wp14:anchorId="3E44C653" wp14:editId="6F7920E9">
          <wp:extent cx="352513" cy="372543"/>
          <wp:effectExtent l="19050" t="0" r="9437" b="0"/>
          <wp:docPr id="292" name="Picture 3" descr="Borough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ough small.png"/>
                  <pic:cNvPicPr/>
                </pic:nvPicPr>
                <pic:blipFill>
                  <a:blip r:embed="rId2">
                    <a:duotone>
                      <a:schemeClr val="bg2">
                        <a:shade val="45000"/>
                        <a:satMod val="135000"/>
                      </a:schemeClr>
                      <a:prstClr val="white"/>
                    </a:duotone>
                  </a:blip>
                  <a:stretch>
                    <a:fillRect/>
                  </a:stretch>
                </pic:blipFill>
                <pic:spPr>
                  <a:xfrm>
                    <a:off x="0" y="0"/>
                    <a:ext cx="352513" cy="372543"/>
                  </a:xfrm>
                  <a:prstGeom prst="rect">
                    <a:avLst/>
                  </a:prstGeom>
                </pic:spPr>
              </pic:pic>
            </a:graphicData>
          </a:graphic>
        </wp:inline>
      </w:drawing>
    </w:r>
    <w:r w:rsidRPr="006A31AE">
      <w:rPr>
        <w:b/>
        <w:noProof/>
        <w:color w:val="808080"/>
        <w:lang w:eastAsia="en-GB"/>
      </w:rPr>
      <w:drawing>
        <wp:inline distT="0" distB="0" distL="0" distR="0" wp14:anchorId="14F084C8" wp14:editId="6A22A320">
          <wp:extent cx="252771" cy="313077"/>
          <wp:effectExtent l="19050" t="0" r="0" b="0"/>
          <wp:docPr id="293" name="Picture 18" descr="co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ns.png"/>
                  <pic:cNvPicPr/>
                </pic:nvPicPr>
                <pic:blipFill>
                  <a:blip r:embed="rId3">
                    <a:duotone>
                      <a:schemeClr val="bg2">
                        <a:shade val="45000"/>
                        <a:satMod val="135000"/>
                      </a:schemeClr>
                      <a:prstClr val="white"/>
                    </a:duotone>
                  </a:blip>
                  <a:stretch>
                    <a:fillRect/>
                  </a:stretch>
                </pic:blipFill>
                <pic:spPr>
                  <a:xfrm>
                    <a:off x="0" y="0"/>
                    <a:ext cx="252771" cy="313077"/>
                  </a:xfrm>
                  <a:prstGeom prst="rect">
                    <a:avLst/>
                  </a:prstGeom>
                </pic:spPr>
              </pic:pic>
            </a:graphicData>
          </a:graphic>
        </wp:inline>
      </w:drawing>
    </w:r>
    <w:r w:rsidRPr="006A31AE">
      <w:rPr>
        <w:b/>
        <w:noProof/>
        <w:color w:val="808080"/>
        <w:lang w:eastAsia="en-GB"/>
      </w:rPr>
      <w:drawing>
        <wp:inline distT="0" distB="0" distL="0" distR="0" wp14:anchorId="4DD904DA" wp14:editId="199BED33">
          <wp:extent cx="347420" cy="326258"/>
          <wp:effectExtent l="19050" t="0" r="0" b="0"/>
          <wp:docPr id="294" name="Picture 0" descr="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png"/>
                  <pic:cNvPicPr/>
                </pic:nvPicPr>
                <pic:blipFill>
                  <a:blip r:embed="rId4">
                    <a:duotone>
                      <a:schemeClr val="bg2">
                        <a:shade val="45000"/>
                        <a:satMod val="135000"/>
                      </a:schemeClr>
                      <a:prstClr val="white"/>
                    </a:duotone>
                  </a:blip>
                  <a:stretch>
                    <a:fillRect/>
                  </a:stretch>
                </pic:blipFill>
                <pic:spPr>
                  <a:xfrm>
                    <a:off x="0" y="0"/>
                    <a:ext cx="347420" cy="326258"/>
                  </a:xfrm>
                  <a:prstGeom prst="rect">
                    <a:avLst/>
                  </a:prstGeom>
                </pic:spPr>
              </pic:pic>
            </a:graphicData>
          </a:graphic>
        </wp:inline>
      </w:drawing>
    </w:r>
    <w:r w:rsidRPr="006A31AE">
      <w:rPr>
        <w:b/>
        <w:noProof/>
        <w:color w:val="808080"/>
        <w:lang w:eastAsia="en-GB"/>
      </w:rPr>
      <w:drawing>
        <wp:inline distT="0" distB="0" distL="0" distR="0" wp14:anchorId="0DE77461" wp14:editId="03685F38">
          <wp:extent cx="277850" cy="324394"/>
          <wp:effectExtent l="19050" t="0" r="7900" b="0"/>
          <wp:docPr id="300" name="Picture 17" descr="Ho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png"/>
                  <pic:cNvPicPr/>
                </pic:nvPicPr>
                <pic:blipFill>
                  <a:blip r:embed="rId5">
                    <a:duotone>
                      <a:schemeClr val="bg2">
                        <a:shade val="45000"/>
                        <a:satMod val="135000"/>
                      </a:schemeClr>
                      <a:prstClr val="white"/>
                    </a:duotone>
                  </a:blip>
                  <a:stretch>
                    <a:fillRect/>
                  </a:stretch>
                </pic:blipFill>
                <pic:spPr>
                  <a:xfrm>
                    <a:off x="0" y="0"/>
                    <a:ext cx="277850" cy="324394"/>
                  </a:xfrm>
                  <a:prstGeom prst="rect">
                    <a:avLst/>
                  </a:prstGeom>
                </pic:spPr>
              </pic:pic>
            </a:graphicData>
          </a:graphic>
        </wp:inline>
      </w:drawing>
    </w:r>
    <w:r w:rsidRPr="006A31AE">
      <w:rPr>
        <w:b/>
        <w:noProof/>
        <w:color w:val="808080"/>
        <w:lang w:eastAsia="en-GB"/>
      </w:rPr>
      <w:drawing>
        <wp:inline distT="0" distB="0" distL="0" distR="0" wp14:anchorId="5619A0BD" wp14:editId="303851BF">
          <wp:extent cx="512021" cy="321029"/>
          <wp:effectExtent l="19050" t="0" r="2329" b="0"/>
          <wp:docPr id="310" name="Picture 2" descr="Gradu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uation.png"/>
                  <pic:cNvPicPr/>
                </pic:nvPicPr>
                <pic:blipFill>
                  <a:blip r:embed="rId6">
                    <a:duotone>
                      <a:schemeClr val="bg2">
                        <a:shade val="45000"/>
                        <a:satMod val="135000"/>
                      </a:schemeClr>
                      <a:prstClr val="white"/>
                    </a:duotone>
                  </a:blip>
                  <a:stretch>
                    <a:fillRect/>
                  </a:stretch>
                </pic:blipFill>
                <pic:spPr>
                  <a:xfrm>
                    <a:off x="0" y="0"/>
                    <a:ext cx="512021" cy="321029"/>
                  </a:xfrm>
                  <a:prstGeom prst="rect">
                    <a:avLst/>
                  </a:prstGeom>
                </pic:spPr>
              </pic:pic>
            </a:graphicData>
          </a:graphic>
        </wp:inline>
      </w:drawing>
    </w:r>
    <w:r w:rsidRPr="006A31AE">
      <w:rPr>
        <w:b/>
        <w:noProof/>
        <w:color w:val="808080"/>
        <w:lang w:eastAsia="en-GB"/>
      </w:rPr>
      <w:drawing>
        <wp:inline distT="0" distB="0" distL="0" distR="0" wp14:anchorId="7BA4D31E" wp14:editId="7D4411B8">
          <wp:extent cx="466725" cy="266700"/>
          <wp:effectExtent l="19050" t="0" r="9525" b="0"/>
          <wp:docPr id="313"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
                    <a:duotone>
                      <a:schemeClr val="bg2">
                        <a:shade val="45000"/>
                        <a:satMod val="135000"/>
                      </a:schemeClr>
                      <a:prstClr val="white"/>
                    </a:duotone>
                  </a:blip>
                  <a:srcRect/>
                  <a:stretch>
                    <a:fillRect/>
                  </a:stretch>
                </pic:blipFill>
                <pic:spPr bwMode="auto">
                  <a:xfrm>
                    <a:off x="0" y="0"/>
                    <a:ext cx="466027" cy="266301"/>
                  </a:xfrm>
                  <a:prstGeom prst="rect">
                    <a:avLst/>
                  </a:prstGeom>
                  <a:noFill/>
                  <a:ln w="9525">
                    <a:noFill/>
                    <a:miter lim="800000"/>
                    <a:headEnd/>
                    <a:tailEnd/>
                  </a:ln>
                  <a:effectLst/>
                </pic:spPr>
              </pic:pic>
            </a:graphicData>
          </a:graphic>
        </wp:inline>
      </w:drawing>
    </w:r>
    <w:r w:rsidRPr="006A31AE">
      <w:rPr>
        <w:b/>
        <w:noProof/>
        <w:color w:val="808080"/>
        <w:lang w:eastAsia="en-GB"/>
      </w:rPr>
      <w:drawing>
        <wp:inline distT="0" distB="0" distL="0" distR="0" wp14:anchorId="3768A85F" wp14:editId="451006F9">
          <wp:extent cx="295275" cy="295275"/>
          <wp:effectExtent l="19050" t="0" r="9525" b="0"/>
          <wp:docPr id="13327" name="Picture 15"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8">
                    <a:duotone>
                      <a:schemeClr val="bg2">
                        <a:shade val="45000"/>
                        <a:satMod val="135000"/>
                      </a:schemeClr>
                      <a:prstClr val="white"/>
                    </a:duotone>
                  </a:blip>
                  <a:stretch>
                    <a:fillRect/>
                  </a:stretch>
                </pic:blipFill>
                <pic:spPr>
                  <a:xfrm>
                    <a:off x="0" y="0"/>
                    <a:ext cx="295251" cy="295251"/>
                  </a:xfrm>
                  <a:prstGeom prst="rect">
                    <a:avLst/>
                  </a:prstGeom>
                </pic:spPr>
              </pic:pic>
            </a:graphicData>
          </a:graphic>
        </wp:inline>
      </w:drawing>
    </w:r>
    <w:r w:rsidRPr="006A31AE">
      <w:rPr>
        <w:b/>
        <w:noProof/>
        <w:color w:val="808080"/>
        <w:lang w:eastAsia="en-GB"/>
      </w:rPr>
      <w:drawing>
        <wp:inline distT="0" distB="0" distL="0" distR="0" wp14:anchorId="12E85CB8" wp14:editId="7739C5A6">
          <wp:extent cx="297362" cy="315475"/>
          <wp:effectExtent l="19050" t="0" r="7438" b="0"/>
          <wp:docPr id="13328" name="Picture 5" descr="Child and elder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 and elderly.png"/>
                  <pic:cNvPicPr/>
                </pic:nvPicPr>
                <pic:blipFill>
                  <a:blip r:embed="rId9"/>
                  <a:stretch>
                    <a:fillRect/>
                  </a:stretch>
                </pic:blipFill>
                <pic:spPr>
                  <a:xfrm>
                    <a:off x="0" y="0"/>
                    <a:ext cx="297362" cy="315475"/>
                  </a:xfrm>
                  <a:prstGeom prst="rect">
                    <a:avLst/>
                  </a:prstGeom>
                </pic:spPr>
              </pic:pic>
            </a:graphicData>
          </a:graphic>
        </wp:inline>
      </w:drawing>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1450" w:rsidRPr="006A31AE" w:rsidRDefault="00721450">
    <w:pPr>
      <w:pStyle w:val="Header"/>
      <w:rPr>
        <w:b/>
        <w:color w:val="808080"/>
      </w:rPr>
    </w:pPr>
    <w:r w:rsidRPr="006A31AE">
      <w:rPr>
        <w:b/>
        <w:noProof/>
        <w:color w:val="FFFFFF"/>
        <w:lang w:eastAsia="en-GB"/>
      </w:rPr>
      <mc:AlternateContent>
        <mc:Choice Requires="wps">
          <w:drawing>
            <wp:anchor distT="4294967294" distB="4294967294" distL="114300" distR="114300" simplePos="0" relativeHeight="251661824" behindDoc="0" locked="0" layoutInCell="1" allowOverlap="1" wp14:anchorId="3C280A62" wp14:editId="67231988">
              <wp:simplePos x="0" y="0"/>
              <wp:positionH relativeFrom="column">
                <wp:posOffset>-914400</wp:posOffset>
              </wp:positionH>
              <wp:positionV relativeFrom="paragraph">
                <wp:posOffset>436244</wp:posOffset>
              </wp:positionV>
              <wp:extent cx="10782300" cy="0"/>
              <wp:effectExtent l="0" t="0" r="19050" b="19050"/>
              <wp:wrapNone/>
              <wp:docPr id="1369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82300" cy="0"/>
                      </a:xfrm>
                      <a:prstGeom prst="line">
                        <a:avLst/>
                      </a:prstGeom>
                      <a:noFill/>
                      <a:ln w="25400" cap="flat" cmpd="sng" algn="ctr">
                        <a:solidFill>
                          <a:sysClr val="window" lastClr="FFFFFF">
                            <a:lumMod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2D18FB6F" id="Straight Connector 10" o:spid="_x0000_s1026" style="position:absolute;z-index:2516766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in,34.35pt" to="777pt,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" strokecolor="#7f7f7f" strokeweight="2pt">
              <o:lock v:ext="edit" shapetype="f"/>
            </v:line>
          </w:pict>
        </mc:Fallback>
      </mc:AlternateContent>
    </w:r>
    <w:r w:rsidRPr="006A31AE">
      <w:rPr>
        <w:b/>
        <w:color w:val="808080"/>
      </w:rPr>
      <w:t xml:space="preserve">Borough Profile </w:t>
    </w:r>
    <w:r>
      <w:rPr>
        <w:b/>
        <w:color w:val="808080"/>
      </w:rPr>
      <w:t>– Social care</w:t>
    </w:r>
    <w:r w:rsidRPr="006A31AE">
      <w:rPr>
        <w:b/>
        <w:color w:val="808080"/>
      </w:rPr>
      <w:tab/>
      <w:t xml:space="preserve">                                                            </w:t>
    </w:r>
    <w:r w:rsidRPr="006A31AE">
      <w:rPr>
        <w:b/>
        <w:color w:val="808080"/>
      </w:rPr>
      <w:tab/>
    </w:r>
    <w:r w:rsidRPr="006A31AE">
      <w:rPr>
        <w:b/>
        <w:noProof/>
        <w:color w:val="808080"/>
        <w:lang w:eastAsia="en-GB"/>
      </w:rPr>
      <w:drawing>
        <wp:inline distT="0" distB="0" distL="0" distR="0" wp14:anchorId="48975EA2" wp14:editId="721639BA">
          <wp:extent cx="390525" cy="379922"/>
          <wp:effectExtent l="19050" t="0" r="9525" b="0"/>
          <wp:docPr id="13691" name="Picture 6" descr="Peo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ople.png"/>
                  <pic:cNvPicPr/>
                </pic:nvPicPr>
                <pic:blipFill>
                  <a:blip r:embed="rId1">
                    <a:duotone>
                      <a:schemeClr val="bg2">
                        <a:shade val="45000"/>
                        <a:satMod val="135000"/>
                      </a:schemeClr>
                      <a:prstClr val="white"/>
                    </a:duotone>
                  </a:blip>
                  <a:stretch>
                    <a:fillRect/>
                  </a:stretch>
                </pic:blipFill>
                <pic:spPr>
                  <a:xfrm>
                    <a:off x="0" y="0"/>
                    <a:ext cx="390419" cy="379819"/>
                  </a:xfrm>
                  <a:prstGeom prst="rect">
                    <a:avLst/>
                  </a:prstGeom>
                </pic:spPr>
              </pic:pic>
            </a:graphicData>
          </a:graphic>
        </wp:inline>
      </w:drawing>
    </w:r>
    <w:r w:rsidRPr="006A31AE">
      <w:rPr>
        <w:b/>
        <w:noProof/>
        <w:color w:val="808080"/>
        <w:lang w:eastAsia="en-GB"/>
      </w:rPr>
      <w:drawing>
        <wp:inline distT="0" distB="0" distL="0" distR="0" wp14:anchorId="59B17C58" wp14:editId="08FC2BD7">
          <wp:extent cx="352513" cy="372543"/>
          <wp:effectExtent l="19050" t="0" r="9437" b="0"/>
          <wp:docPr id="13692" name="Picture 3" descr="Borough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ough small.png"/>
                  <pic:cNvPicPr/>
                </pic:nvPicPr>
                <pic:blipFill>
                  <a:blip r:embed="rId2">
                    <a:duotone>
                      <a:schemeClr val="bg2">
                        <a:shade val="45000"/>
                        <a:satMod val="135000"/>
                      </a:schemeClr>
                      <a:prstClr val="white"/>
                    </a:duotone>
                  </a:blip>
                  <a:stretch>
                    <a:fillRect/>
                  </a:stretch>
                </pic:blipFill>
                <pic:spPr>
                  <a:xfrm>
                    <a:off x="0" y="0"/>
                    <a:ext cx="352513" cy="372543"/>
                  </a:xfrm>
                  <a:prstGeom prst="rect">
                    <a:avLst/>
                  </a:prstGeom>
                </pic:spPr>
              </pic:pic>
            </a:graphicData>
          </a:graphic>
        </wp:inline>
      </w:drawing>
    </w:r>
    <w:r w:rsidRPr="006A31AE">
      <w:rPr>
        <w:b/>
        <w:noProof/>
        <w:color w:val="808080"/>
        <w:lang w:eastAsia="en-GB"/>
      </w:rPr>
      <w:drawing>
        <wp:inline distT="0" distB="0" distL="0" distR="0" wp14:anchorId="4D2A91D9" wp14:editId="752A1B41">
          <wp:extent cx="252771" cy="313077"/>
          <wp:effectExtent l="19050" t="0" r="0" b="0"/>
          <wp:docPr id="13693" name="Picture 18" descr="co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ns.png"/>
                  <pic:cNvPicPr/>
                </pic:nvPicPr>
                <pic:blipFill>
                  <a:blip r:embed="rId3">
                    <a:duotone>
                      <a:schemeClr val="bg2">
                        <a:shade val="45000"/>
                        <a:satMod val="135000"/>
                      </a:schemeClr>
                      <a:prstClr val="white"/>
                    </a:duotone>
                  </a:blip>
                  <a:stretch>
                    <a:fillRect/>
                  </a:stretch>
                </pic:blipFill>
                <pic:spPr>
                  <a:xfrm>
                    <a:off x="0" y="0"/>
                    <a:ext cx="252771" cy="313077"/>
                  </a:xfrm>
                  <a:prstGeom prst="rect">
                    <a:avLst/>
                  </a:prstGeom>
                </pic:spPr>
              </pic:pic>
            </a:graphicData>
          </a:graphic>
        </wp:inline>
      </w:drawing>
    </w:r>
    <w:r w:rsidRPr="006A31AE">
      <w:rPr>
        <w:b/>
        <w:noProof/>
        <w:color w:val="808080"/>
        <w:lang w:eastAsia="en-GB"/>
      </w:rPr>
      <w:drawing>
        <wp:inline distT="0" distB="0" distL="0" distR="0" wp14:anchorId="6B647C41" wp14:editId="08FFBC55">
          <wp:extent cx="347420" cy="326258"/>
          <wp:effectExtent l="19050" t="0" r="0" b="0"/>
          <wp:docPr id="13694" name="Picture 0" descr="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png"/>
                  <pic:cNvPicPr/>
                </pic:nvPicPr>
                <pic:blipFill>
                  <a:blip r:embed="rId4">
                    <a:duotone>
                      <a:schemeClr val="bg2">
                        <a:shade val="45000"/>
                        <a:satMod val="135000"/>
                      </a:schemeClr>
                      <a:prstClr val="white"/>
                    </a:duotone>
                  </a:blip>
                  <a:stretch>
                    <a:fillRect/>
                  </a:stretch>
                </pic:blipFill>
                <pic:spPr>
                  <a:xfrm>
                    <a:off x="0" y="0"/>
                    <a:ext cx="347420" cy="326258"/>
                  </a:xfrm>
                  <a:prstGeom prst="rect">
                    <a:avLst/>
                  </a:prstGeom>
                </pic:spPr>
              </pic:pic>
            </a:graphicData>
          </a:graphic>
        </wp:inline>
      </w:drawing>
    </w:r>
    <w:r w:rsidRPr="006A31AE">
      <w:rPr>
        <w:b/>
        <w:noProof/>
        <w:color w:val="808080"/>
        <w:lang w:eastAsia="en-GB"/>
      </w:rPr>
      <w:drawing>
        <wp:inline distT="0" distB="0" distL="0" distR="0" wp14:anchorId="55E8BFF3" wp14:editId="5D18BA85">
          <wp:extent cx="277850" cy="324394"/>
          <wp:effectExtent l="19050" t="0" r="7900" b="0"/>
          <wp:docPr id="13695" name="Picture 17" descr="Ho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png"/>
                  <pic:cNvPicPr/>
                </pic:nvPicPr>
                <pic:blipFill>
                  <a:blip r:embed="rId5">
                    <a:duotone>
                      <a:schemeClr val="bg2">
                        <a:shade val="45000"/>
                        <a:satMod val="135000"/>
                      </a:schemeClr>
                      <a:prstClr val="white"/>
                    </a:duotone>
                  </a:blip>
                  <a:stretch>
                    <a:fillRect/>
                  </a:stretch>
                </pic:blipFill>
                <pic:spPr>
                  <a:xfrm>
                    <a:off x="0" y="0"/>
                    <a:ext cx="277850" cy="324394"/>
                  </a:xfrm>
                  <a:prstGeom prst="rect">
                    <a:avLst/>
                  </a:prstGeom>
                </pic:spPr>
              </pic:pic>
            </a:graphicData>
          </a:graphic>
        </wp:inline>
      </w:drawing>
    </w:r>
    <w:r w:rsidRPr="006A31AE">
      <w:rPr>
        <w:b/>
        <w:noProof/>
        <w:color w:val="808080"/>
        <w:lang w:eastAsia="en-GB"/>
      </w:rPr>
      <w:drawing>
        <wp:inline distT="0" distB="0" distL="0" distR="0" wp14:anchorId="18B87A14" wp14:editId="78300B1B">
          <wp:extent cx="512021" cy="321029"/>
          <wp:effectExtent l="19050" t="0" r="2329" b="0"/>
          <wp:docPr id="13728" name="Picture 2" descr="Gradu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uation.png"/>
                  <pic:cNvPicPr/>
                </pic:nvPicPr>
                <pic:blipFill>
                  <a:blip r:embed="rId6">
                    <a:duotone>
                      <a:schemeClr val="bg2">
                        <a:shade val="45000"/>
                        <a:satMod val="135000"/>
                      </a:schemeClr>
                      <a:prstClr val="white"/>
                    </a:duotone>
                  </a:blip>
                  <a:stretch>
                    <a:fillRect/>
                  </a:stretch>
                </pic:blipFill>
                <pic:spPr>
                  <a:xfrm>
                    <a:off x="0" y="0"/>
                    <a:ext cx="512021" cy="321029"/>
                  </a:xfrm>
                  <a:prstGeom prst="rect">
                    <a:avLst/>
                  </a:prstGeom>
                </pic:spPr>
              </pic:pic>
            </a:graphicData>
          </a:graphic>
        </wp:inline>
      </w:drawing>
    </w:r>
    <w:r w:rsidRPr="006A31AE">
      <w:rPr>
        <w:b/>
        <w:noProof/>
        <w:color w:val="808080"/>
        <w:lang w:eastAsia="en-GB"/>
      </w:rPr>
      <w:drawing>
        <wp:inline distT="0" distB="0" distL="0" distR="0" wp14:anchorId="662713B3" wp14:editId="042BB4D7">
          <wp:extent cx="466725" cy="266700"/>
          <wp:effectExtent l="19050" t="0" r="9525" b="0"/>
          <wp:docPr id="13729"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
                    <a:duotone>
                      <a:schemeClr val="bg2">
                        <a:shade val="45000"/>
                        <a:satMod val="135000"/>
                      </a:schemeClr>
                      <a:prstClr val="white"/>
                    </a:duotone>
                  </a:blip>
                  <a:srcRect/>
                  <a:stretch>
                    <a:fillRect/>
                  </a:stretch>
                </pic:blipFill>
                <pic:spPr bwMode="auto">
                  <a:xfrm>
                    <a:off x="0" y="0"/>
                    <a:ext cx="466027" cy="266301"/>
                  </a:xfrm>
                  <a:prstGeom prst="rect">
                    <a:avLst/>
                  </a:prstGeom>
                  <a:noFill/>
                  <a:ln w="9525">
                    <a:noFill/>
                    <a:miter lim="800000"/>
                    <a:headEnd/>
                    <a:tailEnd/>
                  </a:ln>
                  <a:effectLst/>
                </pic:spPr>
              </pic:pic>
            </a:graphicData>
          </a:graphic>
        </wp:inline>
      </w:drawing>
    </w:r>
    <w:r w:rsidRPr="006A31AE">
      <w:rPr>
        <w:b/>
        <w:noProof/>
        <w:color w:val="808080"/>
        <w:lang w:eastAsia="en-GB"/>
      </w:rPr>
      <w:drawing>
        <wp:inline distT="0" distB="0" distL="0" distR="0" wp14:anchorId="1BC5446B" wp14:editId="79DE8C11">
          <wp:extent cx="295275" cy="295275"/>
          <wp:effectExtent l="19050" t="0" r="9525" b="0"/>
          <wp:docPr id="13730" name="Picture 15"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8">
                    <a:duotone>
                      <a:schemeClr val="bg2">
                        <a:shade val="45000"/>
                        <a:satMod val="135000"/>
                      </a:schemeClr>
                      <a:prstClr val="white"/>
                    </a:duotone>
                  </a:blip>
                  <a:stretch>
                    <a:fillRect/>
                  </a:stretch>
                </pic:blipFill>
                <pic:spPr>
                  <a:xfrm>
                    <a:off x="0" y="0"/>
                    <a:ext cx="295251" cy="295251"/>
                  </a:xfrm>
                  <a:prstGeom prst="rect">
                    <a:avLst/>
                  </a:prstGeom>
                </pic:spPr>
              </pic:pic>
            </a:graphicData>
          </a:graphic>
        </wp:inline>
      </w:drawing>
    </w:r>
    <w:r w:rsidRPr="006A31AE">
      <w:rPr>
        <w:b/>
        <w:noProof/>
        <w:color w:val="808080"/>
        <w:lang w:eastAsia="en-GB"/>
      </w:rPr>
      <w:drawing>
        <wp:inline distT="0" distB="0" distL="0" distR="0" wp14:anchorId="69B06827" wp14:editId="2F98834D">
          <wp:extent cx="297362" cy="315475"/>
          <wp:effectExtent l="19050" t="0" r="7438" b="0"/>
          <wp:docPr id="13731" name="Picture 5" descr="Child and elder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 and elderly.png"/>
                  <pic:cNvPicPr/>
                </pic:nvPicPr>
                <pic:blipFill>
                  <a:blip r:embed="rId9"/>
                  <a:stretch>
                    <a:fillRect/>
                  </a:stretch>
                </pic:blipFill>
                <pic:spPr>
                  <a:xfrm>
                    <a:off x="0" y="0"/>
                    <a:ext cx="297362" cy="315475"/>
                  </a:xfrm>
                  <a:prstGeom prst="rect">
                    <a:avLst/>
                  </a:prstGeom>
                </pic:spPr>
              </pic:pic>
            </a:graphicData>
          </a:graphic>
        </wp:inline>
      </w:drawing>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1450" w:rsidRPr="006A31AE" w:rsidRDefault="00721450">
    <w:pPr>
      <w:pStyle w:val="Header"/>
      <w:rPr>
        <w:b/>
        <w:color w:val="808080"/>
      </w:rPr>
    </w:pPr>
    <w:r w:rsidRPr="006A31AE">
      <w:rPr>
        <w:b/>
        <w:noProof/>
        <w:color w:val="FFFFFF"/>
        <w:lang w:eastAsia="en-GB"/>
      </w:rPr>
      <mc:AlternateContent>
        <mc:Choice Requires="wps">
          <w:drawing>
            <wp:anchor distT="4294967294" distB="4294967294" distL="114300" distR="114300" simplePos="0" relativeHeight="251662848" behindDoc="0" locked="0" layoutInCell="1" allowOverlap="1" wp14:anchorId="5CC14736" wp14:editId="7DD5D255">
              <wp:simplePos x="0" y="0"/>
              <wp:positionH relativeFrom="column">
                <wp:posOffset>-914400</wp:posOffset>
              </wp:positionH>
              <wp:positionV relativeFrom="paragraph">
                <wp:posOffset>436244</wp:posOffset>
              </wp:positionV>
              <wp:extent cx="10782300" cy="0"/>
              <wp:effectExtent l="0" t="0" r="19050" b="19050"/>
              <wp:wrapNone/>
              <wp:docPr id="13732"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82300" cy="0"/>
                      </a:xfrm>
                      <a:prstGeom prst="line">
                        <a:avLst/>
                      </a:prstGeom>
                      <a:noFill/>
                      <a:ln w="25400" cap="flat" cmpd="sng" algn="ctr">
                        <a:solidFill>
                          <a:sysClr val="window" lastClr="FFFFFF">
                            <a:lumMod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E336517" id="Straight Connector 10" o:spid="_x0000_s1026" style="position:absolute;z-index:25167872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in,34.35pt" to="777pt,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" strokecolor="#7f7f7f" strokeweight="2pt">
              <o:lock v:ext="edit" shapetype="f"/>
            </v:line>
          </w:pict>
        </mc:Fallback>
      </mc:AlternateContent>
    </w:r>
    <w:r w:rsidRPr="006A31AE">
      <w:rPr>
        <w:b/>
        <w:color w:val="808080"/>
      </w:rPr>
      <w:t xml:space="preserve">Borough Profile </w:t>
    </w:r>
    <w:r>
      <w:rPr>
        <w:b/>
        <w:color w:val="808080"/>
      </w:rPr>
      <w:t>– Community Safety</w:t>
    </w:r>
    <w:r w:rsidRPr="006A31AE">
      <w:rPr>
        <w:b/>
        <w:color w:val="808080"/>
      </w:rPr>
      <w:tab/>
      <w:t xml:space="preserve">                                                            </w:t>
    </w:r>
    <w:r w:rsidRPr="006A31AE">
      <w:rPr>
        <w:b/>
        <w:color w:val="808080"/>
      </w:rPr>
      <w:tab/>
    </w:r>
    <w:r w:rsidRPr="006A31AE">
      <w:rPr>
        <w:b/>
        <w:noProof/>
        <w:color w:val="808080"/>
        <w:lang w:eastAsia="en-GB"/>
      </w:rPr>
      <w:drawing>
        <wp:inline distT="0" distB="0" distL="0" distR="0" wp14:anchorId="0EF3006A" wp14:editId="1B63ADF7">
          <wp:extent cx="390525" cy="379922"/>
          <wp:effectExtent l="19050" t="0" r="9525" b="0"/>
          <wp:docPr id="4100" name="Picture 6" descr="Peo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ople.png"/>
                  <pic:cNvPicPr/>
                </pic:nvPicPr>
                <pic:blipFill>
                  <a:blip r:embed="rId1">
                    <a:duotone>
                      <a:schemeClr val="bg2">
                        <a:shade val="45000"/>
                        <a:satMod val="135000"/>
                      </a:schemeClr>
                      <a:prstClr val="white"/>
                    </a:duotone>
                  </a:blip>
                  <a:stretch>
                    <a:fillRect/>
                  </a:stretch>
                </pic:blipFill>
                <pic:spPr>
                  <a:xfrm>
                    <a:off x="0" y="0"/>
                    <a:ext cx="390419" cy="379819"/>
                  </a:xfrm>
                  <a:prstGeom prst="rect">
                    <a:avLst/>
                  </a:prstGeom>
                </pic:spPr>
              </pic:pic>
            </a:graphicData>
          </a:graphic>
        </wp:inline>
      </w:drawing>
    </w:r>
    <w:r w:rsidRPr="006A31AE">
      <w:rPr>
        <w:b/>
        <w:noProof/>
        <w:color w:val="808080"/>
        <w:lang w:eastAsia="en-GB"/>
      </w:rPr>
      <w:drawing>
        <wp:inline distT="0" distB="0" distL="0" distR="0" wp14:anchorId="5A158CD5" wp14:editId="07C8B8C0">
          <wp:extent cx="352513" cy="372543"/>
          <wp:effectExtent l="19050" t="0" r="9437" b="0"/>
          <wp:docPr id="4101" name="Picture 3" descr="Borough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ough small.png"/>
                  <pic:cNvPicPr/>
                </pic:nvPicPr>
                <pic:blipFill>
                  <a:blip r:embed="rId2">
                    <a:duotone>
                      <a:schemeClr val="bg2">
                        <a:shade val="45000"/>
                        <a:satMod val="135000"/>
                      </a:schemeClr>
                      <a:prstClr val="white"/>
                    </a:duotone>
                  </a:blip>
                  <a:stretch>
                    <a:fillRect/>
                  </a:stretch>
                </pic:blipFill>
                <pic:spPr>
                  <a:xfrm>
                    <a:off x="0" y="0"/>
                    <a:ext cx="352513" cy="372543"/>
                  </a:xfrm>
                  <a:prstGeom prst="rect">
                    <a:avLst/>
                  </a:prstGeom>
                </pic:spPr>
              </pic:pic>
            </a:graphicData>
          </a:graphic>
        </wp:inline>
      </w:drawing>
    </w:r>
    <w:r w:rsidRPr="006A31AE">
      <w:rPr>
        <w:b/>
        <w:noProof/>
        <w:color w:val="808080"/>
        <w:lang w:eastAsia="en-GB"/>
      </w:rPr>
      <w:drawing>
        <wp:inline distT="0" distB="0" distL="0" distR="0" wp14:anchorId="3A644A68" wp14:editId="34875B83">
          <wp:extent cx="252771" cy="313077"/>
          <wp:effectExtent l="19050" t="0" r="0" b="0"/>
          <wp:docPr id="4102" name="Picture 18" descr="co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ns.png"/>
                  <pic:cNvPicPr/>
                </pic:nvPicPr>
                <pic:blipFill>
                  <a:blip r:embed="rId3">
                    <a:duotone>
                      <a:schemeClr val="bg2">
                        <a:shade val="45000"/>
                        <a:satMod val="135000"/>
                      </a:schemeClr>
                      <a:prstClr val="white"/>
                    </a:duotone>
                  </a:blip>
                  <a:stretch>
                    <a:fillRect/>
                  </a:stretch>
                </pic:blipFill>
                <pic:spPr>
                  <a:xfrm>
                    <a:off x="0" y="0"/>
                    <a:ext cx="252771" cy="313077"/>
                  </a:xfrm>
                  <a:prstGeom prst="rect">
                    <a:avLst/>
                  </a:prstGeom>
                </pic:spPr>
              </pic:pic>
            </a:graphicData>
          </a:graphic>
        </wp:inline>
      </w:drawing>
    </w:r>
    <w:r w:rsidRPr="006A31AE">
      <w:rPr>
        <w:b/>
        <w:noProof/>
        <w:color w:val="808080"/>
        <w:lang w:eastAsia="en-GB"/>
      </w:rPr>
      <w:drawing>
        <wp:inline distT="0" distB="0" distL="0" distR="0" wp14:anchorId="47CE815D" wp14:editId="58459F48">
          <wp:extent cx="347420" cy="326258"/>
          <wp:effectExtent l="19050" t="0" r="0" b="0"/>
          <wp:docPr id="4103" name="Picture 0" descr="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png"/>
                  <pic:cNvPicPr/>
                </pic:nvPicPr>
                <pic:blipFill>
                  <a:blip r:embed="rId4">
                    <a:duotone>
                      <a:schemeClr val="bg2">
                        <a:shade val="45000"/>
                        <a:satMod val="135000"/>
                      </a:schemeClr>
                      <a:prstClr val="white"/>
                    </a:duotone>
                  </a:blip>
                  <a:stretch>
                    <a:fillRect/>
                  </a:stretch>
                </pic:blipFill>
                <pic:spPr>
                  <a:xfrm>
                    <a:off x="0" y="0"/>
                    <a:ext cx="347420" cy="326258"/>
                  </a:xfrm>
                  <a:prstGeom prst="rect">
                    <a:avLst/>
                  </a:prstGeom>
                </pic:spPr>
              </pic:pic>
            </a:graphicData>
          </a:graphic>
        </wp:inline>
      </w:drawing>
    </w:r>
    <w:r w:rsidRPr="006A31AE">
      <w:rPr>
        <w:b/>
        <w:noProof/>
        <w:color w:val="808080"/>
        <w:lang w:eastAsia="en-GB"/>
      </w:rPr>
      <w:drawing>
        <wp:inline distT="0" distB="0" distL="0" distR="0" wp14:anchorId="01FC667A" wp14:editId="4AF3F737">
          <wp:extent cx="277850" cy="324394"/>
          <wp:effectExtent l="19050" t="0" r="7900" b="0"/>
          <wp:docPr id="4104" name="Picture 17" descr="Ho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png"/>
                  <pic:cNvPicPr/>
                </pic:nvPicPr>
                <pic:blipFill>
                  <a:blip r:embed="rId5">
                    <a:duotone>
                      <a:schemeClr val="bg2">
                        <a:shade val="45000"/>
                        <a:satMod val="135000"/>
                      </a:schemeClr>
                      <a:prstClr val="white"/>
                    </a:duotone>
                  </a:blip>
                  <a:stretch>
                    <a:fillRect/>
                  </a:stretch>
                </pic:blipFill>
                <pic:spPr>
                  <a:xfrm>
                    <a:off x="0" y="0"/>
                    <a:ext cx="277850" cy="324394"/>
                  </a:xfrm>
                  <a:prstGeom prst="rect">
                    <a:avLst/>
                  </a:prstGeom>
                </pic:spPr>
              </pic:pic>
            </a:graphicData>
          </a:graphic>
        </wp:inline>
      </w:drawing>
    </w:r>
    <w:r w:rsidRPr="006A31AE">
      <w:rPr>
        <w:b/>
        <w:noProof/>
        <w:color w:val="808080"/>
        <w:lang w:eastAsia="en-GB"/>
      </w:rPr>
      <w:drawing>
        <wp:inline distT="0" distB="0" distL="0" distR="0" wp14:anchorId="0C5FC8DC" wp14:editId="51A95C2A">
          <wp:extent cx="512021" cy="321029"/>
          <wp:effectExtent l="19050" t="0" r="2329" b="0"/>
          <wp:docPr id="4105" name="Picture 2" descr="Gradu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uation.png"/>
                  <pic:cNvPicPr/>
                </pic:nvPicPr>
                <pic:blipFill>
                  <a:blip r:embed="rId6">
                    <a:duotone>
                      <a:schemeClr val="bg2">
                        <a:shade val="45000"/>
                        <a:satMod val="135000"/>
                      </a:schemeClr>
                      <a:prstClr val="white"/>
                    </a:duotone>
                  </a:blip>
                  <a:stretch>
                    <a:fillRect/>
                  </a:stretch>
                </pic:blipFill>
                <pic:spPr>
                  <a:xfrm>
                    <a:off x="0" y="0"/>
                    <a:ext cx="512021" cy="321029"/>
                  </a:xfrm>
                  <a:prstGeom prst="rect">
                    <a:avLst/>
                  </a:prstGeom>
                </pic:spPr>
              </pic:pic>
            </a:graphicData>
          </a:graphic>
        </wp:inline>
      </w:drawing>
    </w:r>
    <w:r w:rsidRPr="006A31AE">
      <w:rPr>
        <w:b/>
        <w:noProof/>
        <w:color w:val="808080"/>
        <w:lang w:eastAsia="en-GB"/>
      </w:rPr>
      <w:drawing>
        <wp:inline distT="0" distB="0" distL="0" distR="0" wp14:anchorId="69419298" wp14:editId="13A1BB2C">
          <wp:extent cx="466725" cy="266700"/>
          <wp:effectExtent l="19050" t="0" r="9525" b="0"/>
          <wp:docPr id="4106"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
                    <a:duotone>
                      <a:schemeClr val="bg2">
                        <a:shade val="45000"/>
                        <a:satMod val="135000"/>
                      </a:schemeClr>
                      <a:prstClr val="white"/>
                    </a:duotone>
                  </a:blip>
                  <a:srcRect/>
                  <a:stretch>
                    <a:fillRect/>
                  </a:stretch>
                </pic:blipFill>
                <pic:spPr bwMode="auto">
                  <a:xfrm>
                    <a:off x="0" y="0"/>
                    <a:ext cx="466027" cy="266301"/>
                  </a:xfrm>
                  <a:prstGeom prst="rect">
                    <a:avLst/>
                  </a:prstGeom>
                  <a:noFill/>
                  <a:ln w="9525">
                    <a:noFill/>
                    <a:miter lim="800000"/>
                    <a:headEnd/>
                    <a:tailEnd/>
                  </a:ln>
                  <a:effectLst/>
                </pic:spPr>
              </pic:pic>
            </a:graphicData>
          </a:graphic>
        </wp:inline>
      </w:drawing>
    </w:r>
    <w:r w:rsidRPr="006A31AE">
      <w:rPr>
        <w:b/>
        <w:noProof/>
        <w:color w:val="808080"/>
        <w:lang w:eastAsia="en-GB"/>
      </w:rPr>
      <w:drawing>
        <wp:inline distT="0" distB="0" distL="0" distR="0" wp14:anchorId="3E963451" wp14:editId="2361DD25">
          <wp:extent cx="295275" cy="295275"/>
          <wp:effectExtent l="19050" t="0" r="9525" b="0"/>
          <wp:docPr id="4107" name="Picture 15"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8">
                    <a:duotone>
                      <a:schemeClr val="bg2">
                        <a:shade val="45000"/>
                        <a:satMod val="135000"/>
                      </a:schemeClr>
                      <a:prstClr val="white"/>
                    </a:duotone>
                  </a:blip>
                  <a:stretch>
                    <a:fillRect/>
                  </a:stretch>
                </pic:blipFill>
                <pic:spPr>
                  <a:xfrm>
                    <a:off x="0" y="0"/>
                    <a:ext cx="295251" cy="295251"/>
                  </a:xfrm>
                  <a:prstGeom prst="rect">
                    <a:avLst/>
                  </a:prstGeom>
                </pic:spPr>
              </pic:pic>
            </a:graphicData>
          </a:graphic>
        </wp:inline>
      </w:drawing>
    </w:r>
    <w:r w:rsidRPr="006A31AE">
      <w:rPr>
        <w:b/>
        <w:noProof/>
        <w:color w:val="808080"/>
        <w:lang w:eastAsia="en-GB"/>
      </w:rPr>
      <w:drawing>
        <wp:inline distT="0" distB="0" distL="0" distR="0" wp14:anchorId="7C6DA67C" wp14:editId="1598DF48">
          <wp:extent cx="297362" cy="315475"/>
          <wp:effectExtent l="19050" t="0" r="7438" b="0"/>
          <wp:docPr id="4108" name="Picture 5" descr="Child and elder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 and elderly.png"/>
                  <pic:cNvPicPr/>
                </pic:nvPicPr>
                <pic:blipFill>
                  <a:blip r:embed="rId9"/>
                  <a:stretch>
                    <a:fillRect/>
                  </a:stretch>
                </pic:blipFill>
                <pic:spPr>
                  <a:xfrm>
                    <a:off x="0" y="0"/>
                    <a:ext cx="297362" cy="315475"/>
                  </a:xfrm>
                  <a:prstGeom prst="rect">
                    <a:avLst/>
                  </a:prstGeom>
                </pic:spPr>
              </pic:pic>
            </a:graphicData>
          </a:graphic>
        </wp:inline>
      </w:drawing>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1450" w:rsidRPr="006A31AE" w:rsidRDefault="00721450">
    <w:pPr>
      <w:pStyle w:val="Header"/>
      <w:rPr>
        <w:b/>
        <w:color w:val="808080"/>
      </w:rPr>
    </w:pPr>
    <w:r w:rsidRPr="006A31AE">
      <w:rPr>
        <w:b/>
        <w:noProof/>
        <w:color w:val="FFFFFF"/>
        <w:lang w:eastAsia="en-GB"/>
      </w:rPr>
      <mc:AlternateContent>
        <mc:Choice Requires="wps">
          <w:drawing>
            <wp:anchor distT="4294967294" distB="4294967294" distL="114300" distR="114300" simplePos="0" relativeHeight="251663872" behindDoc="0" locked="0" layoutInCell="1" allowOverlap="1" wp14:anchorId="6E5DBF91" wp14:editId="1D8B1843">
              <wp:simplePos x="0" y="0"/>
              <wp:positionH relativeFrom="column">
                <wp:posOffset>-914400</wp:posOffset>
              </wp:positionH>
              <wp:positionV relativeFrom="paragraph">
                <wp:posOffset>436244</wp:posOffset>
              </wp:positionV>
              <wp:extent cx="10782300" cy="0"/>
              <wp:effectExtent l="0" t="0" r="19050" b="19050"/>
              <wp:wrapNone/>
              <wp:docPr id="13742"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82300" cy="0"/>
                      </a:xfrm>
                      <a:prstGeom prst="line">
                        <a:avLst/>
                      </a:prstGeom>
                      <a:noFill/>
                      <a:ln w="25400" cap="flat" cmpd="sng" algn="ctr">
                        <a:solidFill>
                          <a:sysClr val="window" lastClr="FFFFFF">
                            <a:lumMod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466A162" id="Straight Connector 10" o:spid="_x0000_s1026" style="position:absolute;z-index:25168076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in,34.35pt" to="777pt,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" strokecolor="#7f7f7f" strokeweight="2pt">
              <o:lock v:ext="edit" shapetype="f"/>
            </v:line>
          </w:pict>
        </mc:Fallback>
      </mc:AlternateContent>
    </w:r>
    <w:r w:rsidRPr="006A31AE">
      <w:rPr>
        <w:b/>
        <w:color w:val="808080"/>
      </w:rPr>
      <w:t xml:space="preserve">Borough Profile </w:t>
    </w:r>
    <w:r>
      <w:rPr>
        <w:b/>
        <w:color w:val="808080"/>
      </w:rPr>
      <w:t>– Environment and transport</w:t>
    </w:r>
    <w:r w:rsidRPr="006A31AE">
      <w:rPr>
        <w:b/>
        <w:color w:val="808080"/>
      </w:rPr>
      <w:t xml:space="preserve">                                                   </w:t>
    </w:r>
    <w:r w:rsidRPr="006A31AE">
      <w:rPr>
        <w:b/>
        <w:color w:val="808080"/>
      </w:rPr>
      <w:tab/>
    </w:r>
    <w:r w:rsidRPr="006A31AE">
      <w:rPr>
        <w:b/>
        <w:noProof/>
        <w:color w:val="808080"/>
        <w:lang w:eastAsia="en-GB"/>
      </w:rPr>
      <w:drawing>
        <wp:inline distT="0" distB="0" distL="0" distR="0" wp14:anchorId="7C2E7C1B" wp14:editId="1E5C19BD">
          <wp:extent cx="390525" cy="379922"/>
          <wp:effectExtent l="19050" t="0" r="9525" b="0"/>
          <wp:docPr id="13743" name="Picture 6" descr="Peo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ople.png"/>
                  <pic:cNvPicPr/>
                </pic:nvPicPr>
                <pic:blipFill>
                  <a:blip r:embed="rId1">
                    <a:duotone>
                      <a:schemeClr val="bg2">
                        <a:shade val="45000"/>
                        <a:satMod val="135000"/>
                      </a:schemeClr>
                      <a:prstClr val="white"/>
                    </a:duotone>
                  </a:blip>
                  <a:stretch>
                    <a:fillRect/>
                  </a:stretch>
                </pic:blipFill>
                <pic:spPr>
                  <a:xfrm>
                    <a:off x="0" y="0"/>
                    <a:ext cx="390419" cy="379819"/>
                  </a:xfrm>
                  <a:prstGeom prst="rect">
                    <a:avLst/>
                  </a:prstGeom>
                </pic:spPr>
              </pic:pic>
            </a:graphicData>
          </a:graphic>
        </wp:inline>
      </w:drawing>
    </w:r>
    <w:r w:rsidRPr="006A31AE">
      <w:rPr>
        <w:b/>
        <w:noProof/>
        <w:color w:val="808080"/>
        <w:lang w:eastAsia="en-GB"/>
      </w:rPr>
      <w:drawing>
        <wp:inline distT="0" distB="0" distL="0" distR="0" wp14:anchorId="4E5419F0" wp14:editId="0B73E176">
          <wp:extent cx="352513" cy="372543"/>
          <wp:effectExtent l="19050" t="0" r="9437" b="0"/>
          <wp:docPr id="13744" name="Picture 3" descr="Borough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ough small.png"/>
                  <pic:cNvPicPr/>
                </pic:nvPicPr>
                <pic:blipFill>
                  <a:blip r:embed="rId2">
                    <a:duotone>
                      <a:schemeClr val="bg2">
                        <a:shade val="45000"/>
                        <a:satMod val="135000"/>
                      </a:schemeClr>
                      <a:prstClr val="white"/>
                    </a:duotone>
                  </a:blip>
                  <a:stretch>
                    <a:fillRect/>
                  </a:stretch>
                </pic:blipFill>
                <pic:spPr>
                  <a:xfrm>
                    <a:off x="0" y="0"/>
                    <a:ext cx="352513" cy="372543"/>
                  </a:xfrm>
                  <a:prstGeom prst="rect">
                    <a:avLst/>
                  </a:prstGeom>
                </pic:spPr>
              </pic:pic>
            </a:graphicData>
          </a:graphic>
        </wp:inline>
      </w:drawing>
    </w:r>
    <w:r w:rsidRPr="006A31AE">
      <w:rPr>
        <w:b/>
        <w:noProof/>
        <w:color w:val="808080"/>
        <w:lang w:eastAsia="en-GB"/>
      </w:rPr>
      <w:drawing>
        <wp:inline distT="0" distB="0" distL="0" distR="0" wp14:anchorId="779D141A" wp14:editId="6019180A">
          <wp:extent cx="252771" cy="313077"/>
          <wp:effectExtent l="19050" t="0" r="0" b="0"/>
          <wp:docPr id="13745" name="Picture 18" descr="co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ns.png"/>
                  <pic:cNvPicPr/>
                </pic:nvPicPr>
                <pic:blipFill>
                  <a:blip r:embed="rId3">
                    <a:duotone>
                      <a:schemeClr val="bg2">
                        <a:shade val="45000"/>
                        <a:satMod val="135000"/>
                      </a:schemeClr>
                      <a:prstClr val="white"/>
                    </a:duotone>
                  </a:blip>
                  <a:stretch>
                    <a:fillRect/>
                  </a:stretch>
                </pic:blipFill>
                <pic:spPr>
                  <a:xfrm>
                    <a:off x="0" y="0"/>
                    <a:ext cx="252771" cy="313077"/>
                  </a:xfrm>
                  <a:prstGeom prst="rect">
                    <a:avLst/>
                  </a:prstGeom>
                </pic:spPr>
              </pic:pic>
            </a:graphicData>
          </a:graphic>
        </wp:inline>
      </w:drawing>
    </w:r>
    <w:r w:rsidRPr="006A31AE">
      <w:rPr>
        <w:b/>
        <w:noProof/>
        <w:color w:val="808080"/>
        <w:lang w:eastAsia="en-GB"/>
      </w:rPr>
      <w:drawing>
        <wp:inline distT="0" distB="0" distL="0" distR="0" wp14:anchorId="3DBC155E" wp14:editId="738C99E7">
          <wp:extent cx="347420" cy="326258"/>
          <wp:effectExtent l="19050" t="0" r="0" b="0"/>
          <wp:docPr id="13746" name="Picture 0" descr="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png"/>
                  <pic:cNvPicPr/>
                </pic:nvPicPr>
                <pic:blipFill>
                  <a:blip r:embed="rId4">
                    <a:duotone>
                      <a:schemeClr val="bg2">
                        <a:shade val="45000"/>
                        <a:satMod val="135000"/>
                      </a:schemeClr>
                      <a:prstClr val="white"/>
                    </a:duotone>
                  </a:blip>
                  <a:stretch>
                    <a:fillRect/>
                  </a:stretch>
                </pic:blipFill>
                <pic:spPr>
                  <a:xfrm>
                    <a:off x="0" y="0"/>
                    <a:ext cx="347420" cy="326258"/>
                  </a:xfrm>
                  <a:prstGeom prst="rect">
                    <a:avLst/>
                  </a:prstGeom>
                </pic:spPr>
              </pic:pic>
            </a:graphicData>
          </a:graphic>
        </wp:inline>
      </w:drawing>
    </w:r>
    <w:r w:rsidRPr="006A31AE">
      <w:rPr>
        <w:b/>
        <w:noProof/>
        <w:color w:val="808080"/>
        <w:lang w:eastAsia="en-GB"/>
      </w:rPr>
      <w:drawing>
        <wp:inline distT="0" distB="0" distL="0" distR="0" wp14:anchorId="73F91C30" wp14:editId="36BB6595">
          <wp:extent cx="277850" cy="324394"/>
          <wp:effectExtent l="19050" t="0" r="7900" b="0"/>
          <wp:docPr id="13747" name="Picture 17" descr="Ho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png"/>
                  <pic:cNvPicPr/>
                </pic:nvPicPr>
                <pic:blipFill>
                  <a:blip r:embed="rId5">
                    <a:duotone>
                      <a:schemeClr val="bg2">
                        <a:shade val="45000"/>
                        <a:satMod val="135000"/>
                      </a:schemeClr>
                      <a:prstClr val="white"/>
                    </a:duotone>
                  </a:blip>
                  <a:stretch>
                    <a:fillRect/>
                  </a:stretch>
                </pic:blipFill>
                <pic:spPr>
                  <a:xfrm>
                    <a:off x="0" y="0"/>
                    <a:ext cx="277850" cy="324394"/>
                  </a:xfrm>
                  <a:prstGeom prst="rect">
                    <a:avLst/>
                  </a:prstGeom>
                </pic:spPr>
              </pic:pic>
            </a:graphicData>
          </a:graphic>
        </wp:inline>
      </w:drawing>
    </w:r>
    <w:r w:rsidRPr="006A31AE">
      <w:rPr>
        <w:b/>
        <w:noProof/>
        <w:color w:val="808080"/>
        <w:lang w:eastAsia="en-GB"/>
      </w:rPr>
      <w:drawing>
        <wp:inline distT="0" distB="0" distL="0" distR="0" wp14:anchorId="4E34E09E" wp14:editId="5D99DEEB">
          <wp:extent cx="512021" cy="321029"/>
          <wp:effectExtent l="19050" t="0" r="2329" b="0"/>
          <wp:docPr id="13748" name="Picture 2" descr="Gradu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uation.png"/>
                  <pic:cNvPicPr/>
                </pic:nvPicPr>
                <pic:blipFill>
                  <a:blip r:embed="rId6">
                    <a:duotone>
                      <a:schemeClr val="bg2">
                        <a:shade val="45000"/>
                        <a:satMod val="135000"/>
                      </a:schemeClr>
                      <a:prstClr val="white"/>
                    </a:duotone>
                  </a:blip>
                  <a:stretch>
                    <a:fillRect/>
                  </a:stretch>
                </pic:blipFill>
                <pic:spPr>
                  <a:xfrm>
                    <a:off x="0" y="0"/>
                    <a:ext cx="512021" cy="321029"/>
                  </a:xfrm>
                  <a:prstGeom prst="rect">
                    <a:avLst/>
                  </a:prstGeom>
                </pic:spPr>
              </pic:pic>
            </a:graphicData>
          </a:graphic>
        </wp:inline>
      </w:drawing>
    </w:r>
    <w:r w:rsidRPr="006A31AE">
      <w:rPr>
        <w:b/>
        <w:noProof/>
        <w:color w:val="808080"/>
        <w:lang w:eastAsia="en-GB"/>
      </w:rPr>
      <w:drawing>
        <wp:inline distT="0" distB="0" distL="0" distR="0" wp14:anchorId="7309CF2F" wp14:editId="5A5E3AE7">
          <wp:extent cx="466725" cy="266700"/>
          <wp:effectExtent l="19050" t="0" r="9525" b="0"/>
          <wp:docPr id="13749"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
                    <a:duotone>
                      <a:schemeClr val="bg2">
                        <a:shade val="45000"/>
                        <a:satMod val="135000"/>
                      </a:schemeClr>
                      <a:prstClr val="white"/>
                    </a:duotone>
                  </a:blip>
                  <a:srcRect/>
                  <a:stretch>
                    <a:fillRect/>
                  </a:stretch>
                </pic:blipFill>
                <pic:spPr bwMode="auto">
                  <a:xfrm>
                    <a:off x="0" y="0"/>
                    <a:ext cx="466027" cy="266301"/>
                  </a:xfrm>
                  <a:prstGeom prst="rect">
                    <a:avLst/>
                  </a:prstGeom>
                  <a:noFill/>
                  <a:ln w="9525">
                    <a:noFill/>
                    <a:miter lim="800000"/>
                    <a:headEnd/>
                    <a:tailEnd/>
                  </a:ln>
                  <a:effectLst/>
                </pic:spPr>
              </pic:pic>
            </a:graphicData>
          </a:graphic>
        </wp:inline>
      </w:drawing>
    </w:r>
    <w:r w:rsidRPr="006A31AE">
      <w:rPr>
        <w:b/>
        <w:noProof/>
        <w:color w:val="808080"/>
        <w:lang w:eastAsia="en-GB"/>
      </w:rPr>
      <w:drawing>
        <wp:inline distT="0" distB="0" distL="0" distR="0" wp14:anchorId="6C06A16F" wp14:editId="556C0048">
          <wp:extent cx="295275" cy="295275"/>
          <wp:effectExtent l="19050" t="0" r="9525" b="0"/>
          <wp:docPr id="13750" name="Picture 15"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8">
                    <a:duotone>
                      <a:schemeClr val="bg2">
                        <a:shade val="45000"/>
                        <a:satMod val="135000"/>
                      </a:schemeClr>
                      <a:prstClr val="white"/>
                    </a:duotone>
                  </a:blip>
                  <a:stretch>
                    <a:fillRect/>
                  </a:stretch>
                </pic:blipFill>
                <pic:spPr>
                  <a:xfrm>
                    <a:off x="0" y="0"/>
                    <a:ext cx="295251" cy="295251"/>
                  </a:xfrm>
                  <a:prstGeom prst="rect">
                    <a:avLst/>
                  </a:prstGeom>
                </pic:spPr>
              </pic:pic>
            </a:graphicData>
          </a:graphic>
        </wp:inline>
      </w:drawing>
    </w:r>
    <w:r w:rsidRPr="006A31AE">
      <w:rPr>
        <w:b/>
        <w:noProof/>
        <w:color w:val="808080"/>
        <w:lang w:eastAsia="en-GB"/>
      </w:rPr>
      <w:drawing>
        <wp:inline distT="0" distB="0" distL="0" distR="0" wp14:anchorId="2B53A5CC" wp14:editId="430C3C34">
          <wp:extent cx="297362" cy="315475"/>
          <wp:effectExtent l="19050" t="0" r="7438" b="0"/>
          <wp:docPr id="13751" name="Picture 5" descr="Child and elder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 and elderly.png"/>
                  <pic:cNvPicPr/>
                </pic:nvPicPr>
                <pic:blipFill>
                  <a:blip r:embed="rId9"/>
                  <a:stretch>
                    <a:fillRect/>
                  </a:stretch>
                </pic:blipFill>
                <pic:spPr>
                  <a:xfrm>
                    <a:off x="0" y="0"/>
                    <a:ext cx="297362" cy="315475"/>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1450" w:rsidRPr="00CB1148" w:rsidRDefault="00721450">
    <w:pPr>
      <w:pStyle w:val="Header"/>
      <w:rPr>
        <w:b/>
      </w:rPr>
    </w:pPr>
    <w:r w:rsidRPr="00CB1148">
      <w:rPr>
        <w:b/>
      </w:rPr>
      <w:t xml:space="preserve">Borough Profile </w:t>
    </w:r>
    <w:r>
      <w:rPr>
        <w:b/>
      </w:rPr>
      <w:t>–</w:t>
    </w:r>
    <w:r w:rsidRPr="00CB1148">
      <w:rPr>
        <w:b/>
      </w:rPr>
      <w:t xml:space="preserve"> </w:t>
    </w:r>
    <w:r>
      <w:rPr>
        <w:b/>
      </w:rPr>
      <w:t xml:space="preserve">Executive Summary                                                           </w:t>
    </w:r>
    <w:r w:rsidRPr="006A31AE">
      <w:rPr>
        <w:b/>
        <w:noProof/>
        <w:color w:val="808080"/>
        <w:lang w:eastAsia="en-GB"/>
      </w:rPr>
      <w:drawing>
        <wp:inline distT="0" distB="0" distL="0" distR="0" wp14:anchorId="36B15FF2" wp14:editId="4DBA8FE5">
          <wp:extent cx="390525" cy="379922"/>
          <wp:effectExtent l="19050" t="0" r="9525" b="0"/>
          <wp:docPr id="13804" name="Picture 6" descr="Peo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ople.png"/>
                  <pic:cNvPicPr/>
                </pic:nvPicPr>
                <pic:blipFill>
                  <a:blip r:embed="rId1">
                    <a:duotone>
                      <a:schemeClr val="bg2">
                        <a:shade val="45000"/>
                        <a:satMod val="135000"/>
                      </a:schemeClr>
                      <a:prstClr val="white"/>
                    </a:duotone>
                  </a:blip>
                  <a:stretch>
                    <a:fillRect/>
                  </a:stretch>
                </pic:blipFill>
                <pic:spPr>
                  <a:xfrm>
                    <a:off x="0" y="0"/>
                    <a:ext cx="390419" cy="379819"/>
                  </a:xfrm>
                  <a:prstGeom prst="rect">
                    <a:avLst/>
                  </a:prstGeom>
                </pic:spPr>
              </pic:pic>
            </a:graphicData>
          </a:graphic>
        </wp:inline>
      </w:drawing>
    </w:r>
    <w:r w:rsidRPr="006A31AE">
      <w:rPr>
        <w:b/>
        <w:color w:val="808080"/>
      </w:rPr>
      <w:t xml:space="preserve"> </w:t>
    </w:r>
    <w:r w:rsidRPr="006A31AE">
      <w:rPr>
        <w:b/>
        <w:color w:val="808080"/>
      </w:rPr>
      <w:tab/>
    </w:r>
    <w:r w:rsidRPr="006A31AE">
      <w:rPr>
        <w:b/>
        <w:noProof/>
        <w:color w:val="808080"/>
        <w:lang w:eastAsia="en-GB"/>
      </w:rPr>
      <w:drawing>
        <wp:inline distT="0" distB="0" distL="0" distR="0" wp14:anchorId="092F1AE3" wp14:editId="6F273002">
          <wp:extent cx="352513" cy="372543"/>
          <wp:effectExtent l="19050" t="0" r="9437" b="0"/>
          <wp:docPr id="13805" name="Picture 3" descr="Borough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ough small.png"/>
                  <pic:cNvPicPr/>
                </pic:nvPicPr>
                <pic:blipFill>
                  <a:blip r:embed="rId2">
                    <a:duotone>
                      <a:schemeClr val="bg2">
                        <a:shade val="45000"/>
                        <a:satMod val="135000"/>
                      </a:schemeClr>
                      <a:prstClr val="white"/>
                    </a:duotone>
                  </a:blip>
                  <a:stretch>
                    <a:fillRect/>
                  </a:stretch>
                </pic:blipFill>
                <pic:spPr>
                  <a:xfrm>
                    <a:off x="0" y="0"/>
                    <a:ext cx="352513" cy="372543"/>
                  </a:xfrm>
                  <a:prstGeom prst="rect">
                    <a:avLst/>
                  </a:prstGeom>
                </pic:spPr>
              </pic:pic>
            </a:graphicData>
          </a:graphic>
        </wp:inline>
      </w:drawing>
    </w:r>
    <w:r w:rsidRPr="006A31AE">
      <w:rPr>
        <w:b/>
        <w:noProof/>
        <w:color w:val="808080"/>
        <w:lang w:eastAsia="en-GB"/>
      </w:rPr>
      <w:drawing>
        <wp:inline distT="0" distB="0" distL="0" distR="0" wp14:anchorId="4D69A9BF" wp14:editId="69A1E950">
          <wp:extent cx="252771" cy="313077"/>
          <wp:effectExtent l="19050" t="0" r="0" b="0"/>
          <wp:docPr id="13806" name="Picture 18" descr="co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ns.png"/>
                  <pic:cNvPicPr/>
                </pic:nvPicPr>
                <pic:blipFill>
                  <a:blip r:embed="rId3">
                    <a:duotone>
                      <a:schemeClr val="bg2">
                        <a:shade val="45000"/>
                        <a:satMod val="135000"/>
                      </a:schemeClr>
                      <a:prstClr val="white"/>
                    </a:duotone>
                  </a:blip>
                  <a:stretch>
                    <a:fillRect/>
                  </a:stretch>
                </pic:blipFill>
                <pic:spPr>
                  <a:xfrm>
                    <a:off x="0" y="0"/>
                    <a:ext cx="252771" cy="313077"/>
                  </a:xfrm>
                  <a:prstGeom prst="rect">
                    <a:avLst/>
                  </a:prstGeom>
                </pic:spPr>
              </pic:pic>
            </a:graphicData>
          </a:graphic>
        </wp:inline>
      </w:drawing>
    </w:r>
    <w:r w:rsidRPr="006A31AE">
      <w:rPr>
        <w:b/>
        <w:noProof/>
        <w:color w:val="808080"/>
        <w:lang w:eastAsia="en-GB"/>
      </w:rPr>
      <w:drawing>
        <wp:inline distT="0" distB="0" distL="0" distR="0" wp14:anchorId="0380959B" wp14:editId="76F8123A">
          <wp:extent cx="347420" cy="326258"/>
          <wp:effectExtent l="19050" t="0" r="0" b="0"/>
          <wp:docPr id="13807" name="Picture 0" descr="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png"/>
                  <pic:cNvPicPr/>
                </pic:nvPicPr>
                <pic:blipFill>
                  <a:blip r:embed="rId4">
                    <a:duotone>
                      <a:schemeClr val="bg2">
                        <a:shade val="45000"/>
                        <a:satMod val="135000"/>
                      </a:schemeClr>
                      <a:prstClr val="white"/>
                    </a:duotone>
                  </a:blip>
                  <a:stretch>
                    <a:fillRect/>
                  </a:stretch>
                </pic:blipFill>
                <pic:spPr>
                  <a:xfrm>
                    <a:off x="0" y="0"/>
                    <a:ext cx="347420" cy="326258"/>
                  </a:xfrm>
                  <a:prstGeom prst="rect">
                    <a:avLst/>
                  </a:prstGeom>
                </pic:spPr>
              </pic:pic>
            </a:graphicData>
          </a:graphic>
        </wp:inline>
      </w:drawing>
    </w:r>
    <w:r w:rsidRPr="006A31AE">
      <w:rPr>
        <w:b/>
        <w:noProof/>
        <w:color w:val="808080"/>
        <w:lang w:eastAsia="en-GB"/>
      </w:rPr>
      <w:drawing>
        <wp:inline distT="0" distB="0" distL="0" distR="0" wp14:anchorId="25E040BF" wp14:editId="272094AA">
          <wp:extent cx="277850" cy="324394"/>
          <wp:effectExtent l="19050" t="0" r="7900" b="0"/>
          <wp:docPr id="13808" name="Picture 17" descr="Ho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png"/>
                  <pic:cNvPicPr/>
                </pic:nvPicPr>
                <pic:blipFill>
                  <a:blip r:embed="rId5"/>
                  <a:stretch>
                    <a:fillRect/>
                  </a:stretch>
                </pic:blipFill>
                <pic:spPr>
                  <a:xfrm>
                    <a:off x="0" y="0"/>
                    <a:ext cx="277850" cy="324394"/>
                  </a:xfrm>
                  <a:prstGeom prst="rect">
                    <a:avLst/>
                  </a:prstGeom>
                </pic:spPr>
              </pic:pic>
            </a:graphicData>
          </a:graphic>
        </wp:inline>
      </w:drawing>
    </w:r>
    <w:r w:rsidRPr="006A31AE">
      <w:rPr>
        <w:b/>
        <w:noProof/>
        <w:color w:val="808080"/>
        <w:lang w:eastAsia="en-GB"/>
      </w:rPr>
      <w:drawing>
        <wp:inline distT="0" distB="0" distL="0" distR="0" wp14:anchorId="27F3F6DB" wp14:editId="5551F2C5">
          <wp:extent cx="514350" cy="322489"/>
          <wp:effectExtent l="19050" t="0" r="0" b="0"/>
          <wp:docPr id="13809" name="Picture 2" descr="Gradu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uation.png"/>
                  <pic:cNvPicPr/>
                </pic:nvPicPr>
                <pic:blipFill>
                  <a:blip r:embed="rId6">
                    <a:duotone>
                      <a:schemeClr val="bg2">
                        <a:shade val="45000"/>
                        <a:satMod val="135000"/>
                      </a:schemeClr>
                      <a:prstClr val="white"/>
                    </a:duotone>
                  </a:blip>
                  <a:stretch>
                    <a:fillRect/>
                  </a:stretch>
                </pic:blipFill>
                <pic:spPr>
                  <a:xfrm>
                    <a:off x="0" y="0"/>
                    <a:ext cx="512022" cy="321029"/>
                  </a:xfrm>
                  <a:prstGeom prst="rect">
                    <a:avLst/>
                  </a:prstGeom>
                </pic:spPr>
              </pic:pic>
            </a:graphicData>
          </a:graphic>
        </wp:inline>
      </w:drawing>
    </w:r>
    <w:r w:rsidRPr="006A31AE">
      <w:rPr>
        <w:b/>
        <w:noProof/>
        <w:color w:val="808080"/>
        <w:lang w:eastAsia="en-GB"/>
      </w:rPr>
      <w:drawing>
        <wp:inline distT="0" distB="0" distL="0" distR="0" wp14:anchorId="43DB46C8" wp14:editId="4E3750FB">
          <wp:extent cx="466725" cy="266700"/>
          <wp:effectExtent l="19050" t="0" r="9525" b="0"/>
          <wp:docPr id="13810"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
                    <a:duotone>
                      <a:schemeClr val="bg2">
                        <a:shade val="45000"/>
                        <a:satMod val="135000"/>
                      </a:schemeClr>
                      <a:prstClr val="white"/>
                    </a:duotone>
                  </a:blip>
                  <a:srcRect/>
                  <a:stretch>
                    <a:fillRect/>
                  </a:stretch>
                </pic:blipFill>
                <pic:spPr bwMode="auto">
                  <a:xfrm>
                    <a:off x="0" y="0"/>
                    <a:ext cx="466027" cy="266301"/>
                  </a:xfrm>
                  <a:prstGeom prst="rect">
                    <a:avLst/>
                  </a:prstGeom>
                  <a:noFill/>
                  <a:ln w="9525">
                    <a:noFill/>
                    <a:miter lim="800000"/>
                    <a:headEnd/>
                    <a:tailEnd/>
                  </a:ln>
                  <a:effectLst/>
                </pic:spPr>
              </pic:pic>
            </a:graphicData>
          </a:graphic>
        </wp:inline>
      </w:drawing>
    </w:r>
    <w:r w:rsidRPr="006A31AE">
      <w:rPr>
        <w:b/>
        <w:noProof/>
        <w:color w:val="808080"/>
        <w:lang w:eastAsia="en-GB"/>
      </w:rPr>
      <w:drawing>
        <wp:inline distT="0" distB="0" distL="0" distR="0" wp14:anchorId="3B2A7D5C" wp14:editId="6817F388">
          <wp:extent cx="295275" cy="295275"/>
          <wp:effectExtent l="19050" t="0" r="9525" b="0"/>
          <wp:docPr id="13811" name="Picture 15"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8">
                    <a:duotone>
                      <a:schemeClr val="bg2">
                        <a:shade val="45000"/>
                        <a:satMod val="135000"/>
                      </a:schemeClr>
                      <a:prstClr val="white"/>
                    </a:duotone>
                  </a:blip>
                  <a:stretch>
                    <a:fillRect/>
                  </a:stretch>
                </pic:blipFill>
                <pic:spPr>
                  <a:xfrm>
                    <a:off x="0" y="0"/>
                    <a:ext cx="295251" cy="295251"/>
                  </a:xfrm>
                  <a:prstGeom prst="rect">
                    <a:avLst/>
                  </a:prstGeom>
                </pic:spPr>
              </pic:pic>
            </a:graphicData>
          </a:graphic>
        </wp:inline>
      </w:drawing>
    </w:r>
    <w:r w:rsidRPr="006A31AE">
      <w:rPr>
        <w:b/>
        <w:noProof/>
        <w:color w:val="808080"/>
        <w:lang w:eastAsia="en-GB"/>
      </w:rPr>
      <w:drawing>
        <wp:inline distT="0" distB="0" distL="0" distR="0" wp14:anchorId="79E6A2B0" wp14:editId="1FFC2490">
          <wp:extent cx="295275" cy="313262"/>
          <wp:effectExtent l="19050" t="0" r="9525" b="0"/>
          <wp:docPr id="13812" name="Picture 5" descr="Child and elder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 and elderly.png"/>
                  <pic:cNvPicPr/>
                </pic:nvPicPr>
                <pic:blipFill>
                  <a:blip r:embed="rId9">
                    <a:duotone>
                      <a:schemeClr val="bg2">
                        <a:shade val="45000"/>
                        <a:satMod val="135000"/>
                      </a:schemeClr>
                      <a:prstClr val="white"/>
                    </a:duotone>
                  </a:blip>
                  <a:stretch>
                    <a:fillRect/>
                  </a:stretch>
                </pic:blipFill>
                <pic:spPr>
                  <a:xfrm>
                    <a:off x="0" y="0"/>
                    <a:ext cx="297362" cy="315476"/>
                  </a:xfrm>
                  <a:prstGeom prst="rect">
                    <a:avLst/>
                  </a:prstGeom>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1450" w:rsidRPr="006A31AE" w:rsidRDefault="00721450" w:rsidP="006A31AE">
    <w:pPr>
      <w:pStyle w:val="Header"/>
      <w:rPr>
        <w:b/>
        <w:color w:val="808080"/>
      </w:rPr>
    </w:pPr>
    <w:r w:rsidRPr="006A31AE">
      <w:rPr>
        <w:b/>
        <w:noProof/>
        <w:color w:val="FFFFFF"/>
        <w:lang w:eastAsia="en-GB"/>
      </w:rPr>
      <mc:AlternateContent>
        <mc:Choice Requires="wps">
          <w:drawing>
            <wp:anchor distT="4294967294" distB="4294967294" distL="114300" distR="114300" simplePos="0" relativeHeight="251655680" behindDoc="0" locked="0" layoutInCell="1" allowOverlap="1" wp14:anchorId="27136E13" wp14:editId="2F728680">
              <wp:simplePos x="0" y="0"/>
              <wp:positionH relativeFrom="column">
                <wp:posOffset>-914400</wp:posOffset>
              </wp:positionH>
              <wp:positionV relativeFrom="paragraph">
                <wp:posOffset>360044</wp:posOffset>
              </wp:positionV>
              <wp:extent cx="10782300" cy="0"/>
              <wp:effectExtent l="0" t="0" r="19050" b="19050"/>
              <wp:wrapNone/>
              <wp:docPr id="4"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82300" cy="0"/>
                      </a:xfrm>
                      <a:prstGeom prst="line">
                        <a:avLst/>
                      </a:prstGeom>
                      <a:noFill/>
                      <a:ln w="25400" cap="flat" cmpd="sng" algn="ctr">
                        <a:solidFill>
                          <a:sysClr val="window" lastClr="FFFFFF">
                            <a:lumMod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6C8B7D7A" id="Straight Connector 10" o:spid="_x0000_s1026" style="position:absolute;z-index:25166233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in,28.35pt" to="777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" strokecolor="#7f7f7f" strokeweight="2pt">
              <o:lock v:ext="edit" shapetype="f"/>
            </v:line>
          </w:pict>
        </mc:Fallback>
      </mc:AlternateContent>
    </w:r>
    <w:r w:rsidRPr="006A31AE">
      <w:rPr>
        <w:b/>
        <w:color w:val="808080"/>
      </w:rPr>
      <w:t>Borough Profile – Contents</w:t>
    </w:r>
    <w:r w:rsidRPr="006A31AE">
      <w:rPr>
        <w:b/>
        <w:color w:val="808080"/>
      </w:rPr>
      <w:tab/>
    </w:r>
    <w:r w:rsidRPr="006A31AE">
      <w:rPr>
        <w:b/>
        <w:color w:val="808080"/>
      </w:rPr>
      <w:tab/>
    </w:r>
    <w:r w:rsidRPr="006A31AE">
      <w:rPr>
        <w:b/>
        <w:color w:val="808080"/>
      </w:rPr>
      <w:tab/>
    </w:r>
    <w:r w:rsidRPr="006A31AE">
      <w:rPr>
        <w:b/>
        <w:color w:val="808080"/>
      </w:rPr>
      <w:tab/>
    </w:r>
    <w:r w:rsidRPr="006A31AE">
      <w:rPr>
        <w:b/>
        <w:color w:val="808080"/>
      </w:rPr>
      <w:tab/>
    </w:r>
    <w:r w:rsidRPr="006A31AE">
      <w:rPr>
        <w:b/>
        <w:color w:val="808080"/>
      </w:rPr>
      <w:tab/>
    </w:r>
    <w:r w:rsidRPr="006A31AE">
      <w:rPr>
        <w:b/>
        <w:color w:val="808080"/>
      </w:rPr>
      <w:tab/>
    </w:r>
  </w:p>
  <w:p w:rsidR="00721450" w:rsidRDefault="00721450">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1450" w:rsidRPr="006A31AE" w:rsidRDefault="00721450" w:rsidP="006A31AE">
    <w:pPr>
      <w:pStyle w:val="Header"/>
      <w:tabs>
        <w:tab w:val="clear" w:pos="4513"/>
        <w:tab w:val="clear" w:pos="9026"/>
      </w:tabs>
      <w:rPr>
        <w:b/>
        <w:color w:val="808080"/>
      </w:rPr>
    </w:pPr>
    <w:r w:rsidRPr="006A31AE">
      <w:rPr>
        <w:b/>
        <w:color w:val="808080"/>
      </w:rPr>
      <w:t>Borough Profile – Executive Summary</w:t>
    </w:r>
    <w:r w:rsidRPr="006A31AE">
      <w:rPr>
        <w:b/>
        <w:color w:val="808080"/>
      </w:rPr>
      <w:tab/>
    </w:r>
    <w:r w:rsidRPr="006A31AE">
      <w:rPr>
        <w:b/>
        <w:color w:val="808080"/>
      </w:rPr>
      <w:tab/>
    </w:r>
    <w:r w:rsidRPr="006A31AE">
      <w:rPr>
        <w:b/>
        <w:color w:val="808080"/>
      </w:rPr>
      <w:tab/>
    </w:r>
    <w:r w:rsidRPr="006A31AE">
      <w:rPr>
        <w:b/>
        <w:color w:val="808080"/>
      </w:rPr>
      <w:tab/>
    </w:r>
    <w:r w:rsidRPr="006A31AE">
      <w:rPr>
        <w:b/>
        <w:color w:val="808080"/>
      </w:rPr>
      <w:tab/>
    </w:r>
    <w:r>
      <w:rPr>
        <w:b/>
        <w:color w:val="808080"/>
      </w:rPr>
      <w:t xml:space="preserve">   </w:t>
    </w:r>
    <w:r w:rsidRPr="006A31AE">
      <w:rPr>
        <w:b/>
        <w:noProof/>
        <w:color w:val="808080"/>
        <w:lang w:eastAsia="en-GB"/>
      </w:rPr>
      <w:drawing>
        <wp:inline distT="0" distB="0" distL="0" distR="0" wp14:anchorId="579EADCC" wp14:editId="7D7E4804">
          <wp:extent cx="352513" cy="372543"/>
          <wp:effectExtent l="19050" t="0" r="9437" b="0"/>
          <wp:docPr id="1036" name="Picture 3" descr="Borough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ough small.png"/>
                  <pic:cNvPicPr/>
                </pic:nvPicPr>
                <pic:blipFill>
                  <a:blip r:embed="rId1">
                    <a:duotone>
                      <a:schemeClr val="bg2">
                        <a:shade val="45000"/>
                        <a:satMod val="135000"/>
                      </a:schemeClr>
                      <a:prstClr val="white"/>
                    </a:duotone>
                  </a:blip>
                  <a:stretch>
                    <a:fillRect/>
                  </a:stretch>
                </pic:blipFill>
                <pic:spPr>
                  <a:xfrm>
                    <a:off x="0" y="0"/>
                    <a:ext cx="352513" cy="372543"/>
                  </a:xfrm>
                  <a:prstGeom prst="rect">
                    <a:avLst/>
                  </a:prstGeom>
                </pic:spPr>
              </pic:pic>
            </a:graphicData>
          </a:graphic>
        </wp:inline>
      </w:drawing>
    </w:r>
    <w:r w:rsidRPr="006A31AE">
      <w:rPr>
        <w:b/>
        <w:noProof/>
        <w:color w:val="808080"/>
        <w:lang w:eastAsia="en-GB"/>
      </w:rPr>
      <w:drawing>
        <wp:inline distT="0" distB="0" distL="0" distR="0" wp14:anchorId="709DCAA5" wp14:editId="70740C42">
          <wp:extent cx="252771" cy="313077"/>
          <wp:effectExtent l="19050" t="0" r="0" b="0"/>
          <wp:docPr id="1037" name="Picture 18" descr="co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ns.png"/>
                  <pic:cNvPicPr/>
                </pic:nvPicPr>
                <pic:blipFill>
                  <a:blip r:embed="rId2">
                    <a:duotone>
                      <a:schemeClr val="bg2">
                        <a:shade val="45000"/>
                        <a:satMod val="135000"/>
                      </a:schemeClr>
                      <a:prstClr val="white"/>
                    </a:duotone>
                  </a:blip>
                  <a:stretch>
                    <a:fillRect/>
                  </a:stretch>
                </pic:blipFill>
                <pic:spPr>
                  <a:xfrm>
                    <a:off x="0" y="0"/>
                    <a:ext cx="252771" cy="313077"/>
                  </a:xfrm>
                  <a:prstGeom prst="rect">
                    <a:avLst/>
                  </a:prstGeom>
                </pic:spPr>
              </pic:pic>
            </a:graphicData>
          </a:graphic>
        </wp:inline>
      </w:drawing>
    </w:r>
    <w:r w:rsidRPr="006A31AE">
      <w:rPr>
        <w:b/>
        <w:noProof/>
        <w:color w:val="808080"/>
        <w:lang w:eastAsia="en-GB"/>
      </w:rPr>
      <w:drawing>
        <wp:inline distT="0" distB="0" distL="0" distR="0" wp14:anchorId="2F07249B" wp14:editId="4014260D">
          <wp:extent cx="347420" cy="326258"/>
          <wp:effectExtent l="19050" t="0" r="0" b="0"/>
          <wp:docPr id="1040" name="Picture 0" descr="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png"/>
                  <pic:cNvPicPr/>
                </pic:nvPicPr>
                <pic:blipFill>
                  <a:blip r:embed="rId3">
                    <a:duotone>
                      <a:schemeClr val="bg2">
                        <a:shade val="45000"/>
                        <a:satMod val="135000"/>
                      </a:schemeClr>
                      <a:prstClr val="white"/>
                    </a:duotone>
                  </a:blip>
                  <a:stretch>
                    <a:fillRect/>
                  </a:stretch>
                </pic:blipFill>
                <pic:spPr>
                  <a:xfrm>
                    <a:off x="0" y="0"/>
                    <a:ext cx="347420" cy="326258"/>
                  </a:xfrm>
                  <a:prstGeom prst="rect">
                    <a:avLst/>
                  </a:prstGeom>
                </pic:spPr>
              </pic:pic>
            </a:graphicData>
          </a:graphic>
        </wp:inline>
      </w:drawing>
    </w:r>
    <w:r w:rsidRPr="006A31AE">
      <w:rPr>
        <w:b/>
        <w:noProof/>
        <w:color w:val="808080"/>
        <w:lang w:eastAsia="en-GB"/>
      </w:rPr>
      <w:drawing>
        <wp:inline distT="0" distB="0" distL="0" distR="0" wp14:anchorId="60048F19" wp14:editId="29F28BC6">
          <wp:extent cx="514350" cy="322489"/>
          <wp:effectExtent l="19050" t="0" r="0" b="0"/>
          <wp:docPr id="1041" name="Picture 2" descr="Gradu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uation.png"/>
                  <pic:cNvPicPr/>
                </pic:nvPicPr>
                <pic:blipFill>
                  <a:blip r:embed="rId4">
                    <a:duotone>
                      <a:schemeClr val="bg2">
                        <a:shade val="45000"/>
                        <a:satMod val="135000"/>
                      </a:schemeClr>
                      <a:prstClr val="white"/>
                    </a:duotone>
                  </a:blip>
                  <a:stretch>
                    <a:fillRect/>
                  </a:stretch>
                </pic:blipFill>
                <pic:spPr>
                  <a:xfrm>
                    <a:off x="0" y="0"/>
                    <a:ext cx="512022" cy="321029"/>
                  </a:xfrm>
                  <a:prstGeom prst="rect">
                    <a:avLst/>
                  </a:prstGeom>
                </pic:spPr>
              </pic:pic>
            </a:graphicData>
          </a:graphic>
        </wp:inline>
      </w:drawing>
    </w:r>
    <w:r w:rsidRPr="006A31AE">
      <w:rPr>
        <w:b/>
        <w:noProof/>
        <w:color w:val="808080"/>
        <w:lang w:eastAsia="en-GB"/>
      </w:rPr>
      <w:drawing>
        <wp:inline distT="0" distB="0" distL="0" distR="0" wp14:anchorId="58E8EEAA" wp14:editId="7B18D163">
          <wp:extent cx="466725" cy="266700"/>
          <wp:effectExtent l="19050" t="0" r="9525" b="0"/>
          <wp:docPr id="1043"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
                    <a:duotone>
                      <a:schemeClr val="bg2">
                        <a:shade val="45000"/>
                        <a:satMod val="135000"/>
                      </a:schemeClr>
                      <a:prstClr val="white"/>
                    </a:duotone>
                  </a:blip>
                  <a:srcRect/>
                  <a:stretch>
                    <a:fillRect/>
                  </a:stretch>
                </pic:blipFill>
                <pic:spPr bwMode="auto">
                  <a:xfrm>
                    <a:off x="0" y="0"/>
                    <a:ext cx="466027" cy="266301"/>
                  </a:xfrm>
                  <a:prstGeom prst="rect">
                    <a:avLst/>
                  </a:prstGeom>
                  <a:noFill/>
                  <a:ln w="9525">
                    <a:noFill/>
                    <a:miter lim="800000"/>
                    <a:headEnd/>
                    <a:tailEnd/>
                  </a:ln>
                  <a:effectLst/>
                </pic:spPr>
              </pic:pic>
            </a:graphicData>
          </a:graphic>
        </wp:inline>
      </w:drawing>
    </w:r>
    <w:r w:rsidRPr="006A31AE">
      <w:rPr>
        <w:b/>
        <w:noProof/>
        <w:color w:val="808080"/>
        <w:lang w:eastAsia="en-GB"/>
      </w:rPr>
      <w:drawing>
        <wp:inline distT="0" distB="0" distL="0" distR="0" wp14:anchorId="0225B6CF" wp14:editId="7BE2CFC7">
          <wp:extent cx="277850" cy="324394"/>
          <wp:effectExtent l="19050" t="0" r="7900" b="0"/>
          <wp:docPr id="1044" name="Picture 17" descr="Ho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png"/>
                  <pic:cNvPicPr/>
                </pic:nvPicPr>
                <pic:blipFill>
                  <a:blip r:embed="rId6"/>
                  <a:stretch>
                    <a:fillRect/>
                  </a:stretch>
                </pic:blipFill>
                <pic:spPr>
                  <a:xfrm>
                    <a:off x="0" y="0"/>
                    <a:ext cx="277850" cy="324394"/>
                  </a:xfrm>
                  <a:prstGeom prst="rect">
                    <a:avLst/>
                  </a:prstGeom>
                </pic:spPr>
              </pic:pic>
            </a:graphicData>
          </a:graphic>
        </wp:inline>
      </w:drawing>
    </w:r>
    <w:r w:rsidRPr="006A31AE">
      <w:rPr>
        <w:b/>
        <w:noProof/>
        <w:color w:val="808080"/>
        <w:lang w:eastAsia="en-GB"/>
      </w:rPr>
      <w:drawing>
        <wp:inline distT="0" distB="0" distL="0" distR="0" wp14:anchorId="474A086B" wp14:editId="7E31DCD7">
          <wp:extent cx="390525" cy="379922"/>
          <wp:effectExtent l="19050" t="0" r="9525" b="0"/>
          <wp:docPr id="1047" name="Picture 6" descr="Peo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ople.png"/>
                  <pic:cNvPicPr/>
                </pic:nvPicPr>
                <pic:blipFill>
                  <a:blip r:embed="rId7">
                    <a:duotone>
                      <a:schemeClr val="bg2">
                        <a:shade val="45000"/>
                        <a:satMod val="135000"/>
                      </a:schemeClr>
                      <a:prstClr val="white"/>
                    </a:duotone>
                  </a:blip>
                  <a:stretch>
                    <a:fillRect/>
                  </a:stretch>
                </pic:blipFill>
                <pic:spPr>
                  <a:xfrm>
                    <a:off x="0" y="0"/>
                    <a:ext cx="390419" cy="379819"/>
                  </a:xfrm>
                  <a:prstGeom prst="rect">
                    <a:avLst/>
                  </a:prstGeom>
                </pic:spPr>
              </pic:pic>
            </a:graphicData>
          </a:graphic>
        </wp:inline>
      </w:drawing>
    </w:r>
    <w:r w:rsidRPr="006A31AE">
      <w:rPr>
        <w:b/>
        <w:noProof/>
        <w:color w:val="808080"/>
        <w:lang w:eastAsia="en-GB"/>
      </w:rPr>
      <w:drawing>
        <wp:inline distT="0" distB="0" distL="0" distR="0" wp14:anchorId="59F21A7E" wp14:editId="37EF2D50">
          <wp:extent cx="295275" cy="295275"/>
          <wp:effectExtent l="19050" t="0" r="9525" b="0"/>
          <wp:docPr id="1049" name="Picture 15"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8">
                    <a:duotone>
                      <a:schemeClr val="bg2">
                        <a:shade val="45000"/>
                        <a:satMod val="135000"/>
                      </a:schemeClr>
                      <a:prstClr val="white"/>
                    </a:duotone>
                  </a:blip>
                  <a:stretch>
                    <a:fillRect/>
                  </a:stretch>
                </pic:blipFill>
                <pic:spPr>
                  <a:xfrm>
                    <a:off x="0" y="0"/>
                    <a:ext cx="295251" cy="295251"/>
                  </a:xfrm>
                  <a:prstGeom prst="rect">
                    <a:avLst/>
                  </a:prstGeom>
                </pic:spPr>
              </pic:pic>
            </a:graphicData>
          </a:graphic>
        </wp:inline>
      </w:drawing>
    </w:r>
    <w:r w:rsidRPr="006A31AE">
      <w:rPr>
        <w:b/>
        <w:noProof/>
        <w:color w:val="808080"/>
        <w:lang w:eastAsia="en-GB"/>
      </w:rPr>
      <w:drawing>
        <wp:inline distT="0" distB="0" distL="0" distR="0" wp14:anchorId="6DAA3239" wp14:editId="35559E95">
          <wp:extent cx="295275" cy="313262"/>
          <wp:effectExtent l="19050" t="0" r="9525" b="0"/>
          <wp:docPr id="1050" name="Picture 5" descr="Child and elder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 and elderly.png"/>
                  <pic:cNvPicPr/>
                </pic:nvPicPr>
                <pic:blipFill>
                  <a:blip r:embed="rId9">
                    <a:duotone>
                      <a:schemeClr val="bg2">
                        <a:shade val="45000"/>
                        <a:satMod val="135000"/>
                      </a:schemeClr>
                      <a:prstClr val="white"/>
                    </a:duotone>
                  </a:blip>
                  <a:stretch>
                    <a:fillRect/>
                  </a:stretch>
                </pic:blipFill>
                <pic:spPr>
                  <a:xfrm>
                    <a:off x="0" y="0"/>
                    <a:ext cx="297362" cy="315476"/>
                  </a:xfrm>
                  <a:prstGeom prst="rect">
                    <a:avLst/>
                  </a:prstGeom>
                </pic:spPr>
              </pic:pic>
            </a:graphicData>
          </a:graphic>
        </wp:inline>
      </w:drawing>
    </w:r>
  </w:p>
  <w:p w:rsidR="00721450" w:rsidRPr="006A31AE" w:rsidRDefault="00721450" w:rsidP="006A31AE">
    <w:pPr>
      <w:pStyle w:val="Header"/>
      <w:tabs>
        <w:tab w:val="clear" w:pos="4513"/>
        <w:tab w:val="clear" w:pos="9026"/>
      </w:tabs>
      <w:rPr>
        <w:b/>
        <w:color w:val="808080"/>
      </w:rPr>
    </w:pPr>
    <w:r w:rsidRPr="006A31AE">
      <w:rPr>
        <w:b/>
        <w:noProof/>
        <w:color w:val="FFFFFF"/>
        <w:lang w:eastAsia="en-GB"/>
      </w:rPr>
      <mc:AlternateContent>
        <mc:Choice Requires="wps">
          <w:drawing>
            <wp:anchor distT="4294967294" distB="4294967294" distL="114300" distR="114300" simplePos="0" relativeHeight="251653632" behindDoc="0" locked="0" layoutInCell="1" allowOverlap="1" wp14:anchorId="30B186EF" wp14:editId="25923945">
              <wp:simplePos x="0" y="0"/>
              <wp:positionH relativeFrom="column">
                <wp:posOffset>-914400</wp:posOffset>
              </wp:positionH>
              <wp:positionV relativeFrom="paragraph">
                <wp:posOffset>136987</wp:posOffset>
              </wp:positionV>
              <wp:extent cx="10782300" cy="0"/>
              <wp:effectExtent l="0" t="0" r="19050" b="19050"/>
              <wp:wrapNone/>
              <wp:docPr id="3"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82300" cy="0"/>
                      </a:xfrm>
                      <a:prstGeom prst="line">
                        <a:avLst/>
                      </a:prstGeom>
                      <a:noFill/>
                      <a:ln w="25400" cap="flat" cmpd="sng" algn="ctr">
                        <a:solidFill>
                          <a:sysClr val="window" lastClr="FFFFFF">
                            <a:lumMod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3220F9E" id="Straight Connector 10"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in,10.8pt" to="777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" strokecolor="#7f7f7f" strokeweight="2pt">
              <o:lock v:ext="edit" shapetype="f"/>
            </v:line>
          </w:pict>
        </mc:Fallback>
      </mc:AlternateContent>
    </w:r>
  </w:p>
  <w:p w:rsidR="00721450" w:rsidRPr="006A31AE" w:rsidRDefault="00721450" w:rsidP="006A31AE">
    <w:pPr>
      <w:pStyle w:val="Header"/>
      <w:tabs>
        <w:tab w:val="clear" w:pos="4513"/>
        <w:tab w:val="clear" w:pos="9026"/>
      </w:tabs>
      <w:rPr>
        <w:b/>
        <w:color w:val="808080"/>
      </w:rPr>
    </w:pPr>
  </w:p>
  <w:p w:rsidR="00721450" w:rsidRPr="006A31AE" w:rsidRDefault="00721450" w:rsidP="006A31AE">
    <w:pPr>
      <w:pStyle w:val="Header"/>
      <w:tabs>
        <w:tab w:val="clear" w:pos="4513"/>
        <w:tab w:val="clear" w:pos="9026"/>
      </w:tabs>
      <w:rPr>
        <w:b/>
        <w:color w:val="808080"/>
      </w:rPr>
    </w:pPr>
    <w:r w:rsidRPr="006A31AE">
      <w:rPr>
        <w:b/>
        <w:color w:val="808080"/>
      </w:rPr>
      <w:tab/>
    </w:r>
    <w:r w:rsidRPr="006A31AE">
      <w:rPr>
        <w:b/>
        <w:color w:val="808080"/>
      </w:rPr>
      <w:tab/>
    </w:r>
  </w:p>
  <w:p w:rsidR="00721450" w:rsidRDefault="0072145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1450" w:rsidRPr="00CB1148" w:rsidRDefault="00721450">
    <w:pPr>
      <w:pStyle w:val="Header"/>
      <w:rPr>
        <w:b/>
      </w:rPr>
    </w:pPr>
    <w:r w:rsidRPr="00CB1148">
      <w:rPr>
        <w:b/>
      </w:rPr>
      <w:t xml:space="preserve">Borough Profile </w:t>
    </w:r>
    <w:r>
      <w:rPr>
        <w:b/>
      </w:rPr>
      <w:t xml:space="preserve">– December 2018                                                                  </w:t>
    </w:r>
    <w:r w:rsidRPr="006A31AE">
      <w:rPr>
        <w:b/>
        <w:noProof/>
        <w:color w:val="808080"/>
        <w:lang w:eastAsia="en-GB"/>
      </w:rPr>
      <w:drawing>
        <wp:inline distT="0" distB="0" distL="0" distR="0" wp14:anchorId="43AAC2B0" wp14:editId="08FBB6B4">
          <wp:extent cx="390525" cy="379922"/>
          <wp:effectExtent l="19050" t="0" r="9525" b="0"/>
          <wp:docPr id="107" name="Picture 6" descr="Peo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ople.png"/>
                  <pic:cNvPicPr/>
                </pic:nvPicPr>
                <pic:blipFill>
                  <a:blip r:embed="rId1">
                    <a:duotone>
                      <a:schemeClr val="bg2">
                        <a:shade val="45000"/>
                        <a:satMod val="135000"/>
                      </a:schemeClr>
                      <a:prstClr val="white"/>
                    </a:duotone>
                  </a:blip>
                  <a:stretch>
                    <a:fillRect/>
                  </a:stretch>
                </pic:blipFill>
                <pic:spPr>
                  <a:xfrm>
                    <a:off x="0" y="0"/>
                    <a:ext cx="390419" cy="379819"/>
                  </a:xfrm>
                  <a:prstGeom prst="rect">
                    <a:avLst/>
                  </a:prstGeom>
                </pic:spPr>
              </pic:pic>
            </a:graphicData>
          </a:graphic>
        </wp:inline>
      </w:drawing>
    </w:r>
    <w:r w:rsidRPr="006A31AE">
      <w:rPr>
        <w:b/>
        <w:color w:val="808080"/>
      </w:rPr>
      <w:t xml:space="preserve"> </w:t>
    </w:r>
    <w:r w:rsidRPr="006A31AE">
      <w:rPr>
        <w:b/>
        <w:color w:val="808080"/>
      </w:rPr>
      <w:tab/>
    </w:r>
    <w:r w:rsidRPr="006A31AE">
      <w:rPr>
        <w:b/>
        <w:noProof/>
        <w:color w:val="808080"/>
        <w:lang w:eastAsia="en-GB"/>
      </w:rPr>
      <w:drawing>
        <wp:inline distT="0" distB="0" distL="0" distR="0" wp14:anchorId="3B9CC5EC" wp14:editId="0861C0DC">
          <wp:extent cx="352513" cy="372543"/>
          <wp:effectExtent l="19050" t="0" r="9437" b="0"/>
          <wp:docPr id="111" name="Picture 3" descr="Borough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ough small.png"/>
                  <pic:cNvPicPr/>
                </pic:nvPicPr>
                <pic:blipFill>
                  <a:blip r:embed="rId2">
                    <a:duotone>
                      <a:schemeClr val="bg2">
                        <a:shade val="45000"/>
                        <a:satMod val="135000"/>
                      </a:schemeClr>
                      <a:prstClr val="white"/>
                    </a:duotone>
                  </a:blip>
                  <a:stretch>
                    <a:fillRect/>
                  </a:stretch>
                </pic:blipFill>
                <pic:spPr>
                  <a:xfrm>
                    <a:off x="0" y="0"/>
                    <a:ext cx="352513" cy="372543"/>
                  </a:xfrm>
                  <a:prstGeom prst="rect">
                    <a:avLst/>
                  </a:prstGeom>
                </pic:spPr>
              </pic:pic>
            </a:graphicData>
          </a:graphic>
        </wp:inline>
      </w:drawing>
    </w:r>
    <w:r w:rsidRPr="006A31AE">
      <w:rPr>
        <w:b/>
        <w:noProof/>
        <w:color w:val="808080"/>
        <w:lang w:eastAsia="en-GB"/>
      </w:rPr>
      <w:drawing>
        <wp:inline distT="0" distB="0" distL="0" distR="0" wp14:anchorId="29306E65" wp14:editId="4207F48E">
          <wp:extent cx="252771" cy="313077"/>
          <wp:effectExtent l="19050" t="0" r="0" b="0"/>
          <wp:docPr id="112" name="Picture 18" descr="co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ns.png"/>
                  <pic:cNvPicPr/>
                </pic:nvPicPr>
                <pic:blipFill>
                  <a:blip r:embed="rId3">
                    <a:duotone>
                      <a:schemeClr val="bg2">
                        <a:shade val="45000"/>
                        <a:satMod val="135000"/>
                      </a:schemeClr>
                      <a:prstClr val="white"/>
                    </a:duotone>
                  </a:blip>
                  <a:stretch>
                    <a:fillRect/>
                  </a:stretch>
                </pic:blipFill>
                <pic:spPr>
                  <a:xfrm>
                    <a:off x="0" y="0"/>
                    <a:ext cx="252771" cy="313077"/>
                  </a:xfrm>
                  <a:prstGeom prst="rect">
                    <a:avLst/>
                  </a:prstGeom>
                </pic:spPr>
              </pic:pic>
            </a:graphicData>
          </a:graphic>
        </wp:inline>
      </w:drawing>
    </w:r>
    <w:r w:rsidRPr="006A31AE">
      <w:rPr>
        <w:b/>
        <w:noProof/>
        <w:color w:val="808080"/>
        <w:lang w:eastAsia="en-GB"/>
      </w:rPr>
      <w:drawing>
        <wp:inline distT="0" distB="0" distL="0" distR="0" wp14:anchorId="463DB996" wp14:editId="49058CB4">
          <wp:extent cx="347420" cy="326258"/>
          <wp:effectExtent l="19050" t="0" r="0" b="0"/>
          <wp:docPr id="113" name="Picture 0" descr="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png"/>
                  <pic:cNvPicPr/>
                </pic:nvPicPr>
                <pic:blipFill>
                  <a:blip r:embed="rId4">
                    <a:duotone>
                      <a:schemeClr val="bg2">
                        <a:shade val="45000"/>
                        <a:satMod val="135000"/>
                      </a:schemeClr>
                      <a:prstClr val="white"/>
                    </a:duotone>
                  </a:blip>
                  <a:stretch>
                    <a:fillRect/>
                  </a:stretch>
                </pic:blipFill>
                <pic:spPr>
                  <a:xfrm>
                    <a:off x="0" y="0"/>
                    <a:ext cx="347420" cy="326258"/>
                  </a:xfrm>
                  <a:prstGeom prst="rect">
                    <a:avLst/>
                  </a:prstGeom>
                </pic:spPr>
              </pic:pic>
            </a:graphicData>
          </a:graphic>
        </wp:inline>
      </w:drawing>
    </w:r>
    <w:r w:rsidRPr="006A31AE">
      <w:rPr>
        <w:b/>
        <w:noProof/>
        <w:color w:val="808080"/>
        <w:lang w:eastAsia="en-GB"/>
      </w:rPr>
      <w:drawing>
        <wp:inline distT="0" distB="0" distL="0" distR="0" wp14:anchorId="74F3ADBA" wp14:editId="435CBEB1">
          <wp:extent cx="277850" cy="324394"/>
          <wp:effectExtent l="19050" t="0" r="7900" b="0"/>
          <wp:docPr id="115" name="Picture 17" descr="Ho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png"/>
                  <pic:cNvPicPr/>
                </pic:nvPicPr>
                <pic:blipFill>
                  <a:blip r:embed="rId5"/>
                  <a:stretch>
                    <a:fillRect/>
                  </a:stretch>
                </pic:blipFill>
                <pic:spPr>
                  <a:xfrm>
                    <a:off x="0" y="0"/>
                    <a:ext cx="277850" cy="324394"/>
                  </a:xfrm>
                  <a:prstGeom prst="rect">
                    <a:avLst/>
                  </a:prstGeom>
                </pic:spPr>
              </pic:pic>
            </a:graphicData>
          </a:graphic>
        </wp:inline>
      </w:drawing>
    </w:r>
    <w:r w:rsidRPr="006A31AE">
      <w:rPr>
        <w:b/>
        <w:noProof/>
        <w:color w:val="808080"/>
        <w:lang w:eastAsia="en-GB"/>
      </w:rPr>
      <w:drawing>
        <wp:inline distT="0" distB="0" distL="0" distR="0" wp14:anchorId="580C6B89" wp14:editId="6F863B70">
          <wp:extent cx="514350" cy="322489"/>
          <wp:effectExtent l="19050" t="0" r="0" b="0"/>
          <wp:docPr id="116" name="Picture 2" descr="Gradu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uation.png"/>
                  <pic:cNvPicPr/>
                </pic:nvPicPr>
                <pic:blipFill>
                  <a:blip r:embed="rId6">
                    <a:duotone>
                      <a:schemeClr val="bg2">
                        <a:shade val="45000"/>
                        <a:satMod val="135000"/>
                      </a:schemeClr>
                      <a:prstClr val="white"/>
                    </a:duotone>
                  </a:blip>
                  <a:stretch>
                    <a:fillRect/>
                  </a:stretch>
                </pic:blipFill>
                <pic:spPr>
                  <a:xfrm>
                    <a:off x="0" y="0"/>
                    <a:ext cx="512022" cy="321029"/>
                  </a:xfrm>
                  <a:prstGeom prst="rect">
                    <a:avLst/>
                  </a:prstGeom>
                </pic:spPr>
              </pic:pic>
            </a:graphicData>
          </a:graphic>
        </wp:inline>
      </w:drawing>
    </w:r>
    <w:r w:rsidRPr="006A31AE">
      <w:rPr>
        <w:b/>
        <w:noProof/>
        <w:color w:val="808080"/>
        <w:lang w:eastAsia="en-GB"/>
      </w:rPr>
      <w:drawing>
        <wp:inline distT="0" distB="0" distL="0" distR="0" wp14:anchorId="0BA31B45" wp14:editId="0B59E8FB">
          <wp:extent cx="466725" cy="266700"/>
          <wp:effectExtent l="19050" t="0" r="9525" b="0"/>
          <wp:docPr id="117"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
                    <a:duotone>
                      <a:schemeClr val="bg2">
                        <a:shade val="45000"/>
                        <a:satMod val="135000"/>
                      </a:schemeClr>
                      <a:prstClr val="white"/>
                    </a:duotone>
                  </a:blip>
                  <a:srcRect/>
                  <a:stretch>
                    <a:fillRect/>
                  </a:stretch>
                </pic:blipFill>
                <pic:spPr bwMode="auto">
                  <a:xfrm>
                    <a:off x="0" y="0"/>
                    <a:ext cx="466027" cy="266301"/>
                  </a:xfrm>
                  <a:prstGeom prst="rect">
                    <a:avLst/>
                  </a:prstGeom>
                  <a:noFill/>
                  <a:ln w="9525">
                    <a:noFill/>
                    <a:miter lim="800000"/>
                    <a:headEnd/>
                    <a:tailEnd/>
                  </a:ln>
                  <a:effectLst/>
                </pic:spPr>
              </pic:pic>
            </a:graphicData>
          </a:graphic>
        </wp:inline>
      </w:drawing>
    </w:r>
    <w:r w:rsidRPr="006A31AE">
      <w:rPr>
        <w:b/>
        <w:noProof/>
        <w:color w:val="808080"/>
        <w:lang w:eastAsia="en-GB"/>
      </w:rPr>
      <w:drawing>
        <wp:inline distT="0" distB="0" distL="0" distR="0" wp14:anchorId="134BA088" wp14:editId="575A2F7C">
          <wp:extent cx="295275" cy="295275"/>
          <wp:effectExtent l="19050" t="0" r="9525" b="0"/>
          <wp:docPr id="125" name="Picture 15"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8">
                    <a:duotone>
                      <a:schemeClr val="bg2">
                        <a:shade val="45000"/>
                        <a:satMod val="135000"/>
                      </a:schemeClr>
                      <a:prstClr val="white"/>
                    </a:duotone>
                  </a:blip>
                  <a:stretch>
                    <a:fillRect/>
                  </a:stretch>
                </pic:blipFill>
                <pic:spPr>
                  <a:xfrm>
                    <a:off x="0" y="0"/>
                    <a:ext cx="295251" cy="295251"/>
                  </a:xfrm>
                  <a:prstGeom prst="rect">
                    <a:avLst/>
                  </a:prstGeom>
                </pic:spPr>
              </pic:pic>
            </a:graphicData>
          </a:graphic>
        </wp:inline>
      </w:drawing>
    </w:r>
    <w:r w:rsidRPr="006A31AE">
      <w:rPr>
        <w:b/>
        <w:noProof/>
        <w:color w:val="808080"/>
        <w:lang w:eastAsia="en-GB"/>
      </w:rPr>
      <w:drawing>
        <wp:inline distT="0" distB="0" distL="0" distR="0" wp14:anchorId="39DC9D16" wp14:editId="5F832431">
          <wp:extent cx="295275" cy="313262"/>
          <wp:effectExtent l="19050" t="0" r="9525" b="0"/>
          <wp:docPr id="148" name="Picture 5" descr="Child and elder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 and elderly.png"/>
                  <pic:cNvPicPr/>
                </pic:nvPicPr>
                <pic:blipFill>
                  <a:blip r:embed="rId9">
                    <a:duotone>
                      <a:schemeClr val="bg2">
                        <a:shade val="45000"/>
                        <a:satMod val="135000"/>
                      </a:schemeClr>
                      <a:prstClr val="white"/>
                    </a:duotone>
                  </a:blip>
                  <a:stretch>
                    <a:fillRect/>
                  </a:stretch>
                </pic:blipFill>
                <pic:spPr>
                  <a:xfrm>
                    <a:off x="0" y="0"/>
                    <a:ext cx="297362" cy="315476"/>
                  </a:xfrm>
                  <a:prstGeom prst="rect">
                    <a:avLst/>
                  </a:prstGeom>
                </pic:spPr>
              </pic:pic>
            </a:graphicData>
          </a:graphic>
        </wp:inline>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1450" w:rsidRPr="006A31AE" w:rsidRDefault="00721450" w:rsidP="006A31AE">
    <w:pPr>
      <w:pStyle w:val="Header"/>
      <w:tabs>
        <w:tab w:val="clear" w:pos="4513"/>
        <w:tab w:val="clear" w:pos="9026"/>
      </w:tabs>
      <w:rPr>
        <w:b/>
        <w:color w:val="808080"/>
      </w:rPr>
    </w:pPr>
    <w:r w:rsidRPr="006A31AE">
      <w:rPr>
        <w:b/>
        <w:color w:val="808080"/>
      </w:rPr>
      <w:t xml:space="preserve">Borough Profile – </w:t>
    </w:r>
    <w:r>
      <w:rPr>
        <w:b/>
        <w:color w:val="808080"/>
      </w:rPr>
      <w:t>Population</w:t>
    </w:r>
    <w:r>
      <w:rPr>
        <w:b/>
        <w:color w:val="808080"/>
      </w:rPr>
      <w:tab/>
    </w:r>
    <w:r>
      <w:rPr>
        <w:b/>
        <w:color w:val="808080"/>
      </w:rPr>
      <w:tab/>
    </w:r>
    <w:r w:rsidRPr="006A31AE">
      <w:rPr>
        <w:b/>
        <w:color w:val="808080"/>
      </w:rPr>
      <w:tab/>
    </w:r>
    <w:r w:rsidRPr="006A31AE">
      <w:rPr>
        <w:b/>
        <w:color w:val="808080"/>
      </w:rPr>
      <w:tab/>
    </w:r>
    <w:r w:rsidRPr="006A31AE">
      <w:rPr>
        <w:b/>
        <w:color w:val="808080"/>
      </w:rPr>
      <w:tab/>
    </w:r>
    <w:r w:rsidRPr="006A31AE">
      <w:rPr>
        <w:b/>
        <w:color w:val="808080"/>
      </w:rPr>
      <w:tab/>
    </w:r>
    <w:r w:rsidRPr="006A31AE">
      <w:rPr>
        <w:b/>
        <w:color w:val="808080"/>
      </w:rPr>
      <w:tab/>
    </w:r>
    <w:r w:rsidRPr="006A31AE">
      <w:rPr>
        <w:b/>
        <w:noProof/>
        <w:color w:val="808080"/>
        <w:lang w:eastAsia="en-GB"/>
      </w:rPr>
      <w:drawing>
        <wp:inline distT="0" distB="0" distL="0" distR="0" wp14:anchorId="2D960599" wp14:editId="6F61969F">
          <wp:extent cx="352513" cy="372543"/>
          <wp:effectExtent l="19050" t="0" r="9437" b="0"/>
          <wp:docPr id="4126" name="Picture 3" descr="Borough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ough small.png"/>
                  <pic:cNvPicPr/>
                </pic:nvPicPr>
                <pic:blipFill>
                  <a:blip r:embed="rId1">
                    <a:duotone>
                      <a:schemeClr val="bg2">
                        <a:shade val="45000"/>
                        <a:satMod val="135000"/>
                      </a:schemeClr>
                      <a:prstClr val="white"/>
                    </a:duotone>
                  </a:blip>
                  <a:stretch>
                    <a:fillRect/>
                  </a:stretch>
                </pic:blipFill>
                <pic:spPr>
                  <a:xfrm>
                    <a:off x="0" y="0"/>
                    <a:ext cx="352513" cy="372543"/>
                  </a:xfrm>
                  <a:prstGeom prst="rect">
                    <a:avLst/>
                  </a:prstGeom>
                </pic:spPr>
              </pic:pic>
            </a:graphicData>
          </a:graphic>
        </wp:inline>
      </w:drawing>
    </w:r>
    <w:r w:rsidRPr="006A31AE">
      <w:rPr>
        <w:b/>
        <w:noProof/>
        <w:color w:val="808080"/>
        <w:lang w:eastAsia="en-GB"/>
      </w:rPr>
      <w:drawing>
        <wp:inline distT="0" distB="0" distL="0" distR="0" wp14:anchorId="0DDC3C03" wp14:editId="54F70872">
          <wp:extent cx="252771" cy="313077"/>
          <wp:effectExtent l="19050" t="0" r="0" b="0"/>
          <wp:docPr id="4127" name="Picture 18" descr="co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ns.png"/>
                  <pic:cNvPicPr/>
                </pic:nvPicPr>
                <pic:blipFill>
                  <a:blip r:embed="rId2">
                    <a:duotone>
                      <a:schemeClr val="bg2">
                        <a:shade val="45000"/>
                        <a:satMod val="135000"/>
                      </a:schemeClr>
                      <a:prstClr val="white"/>
                    </a:duotone>
                  </a:blip>
                  <a:stretch>
                    <a:fillRect/>
                  </a:stretch>
                </pic:blipFill>
                <pic:spPr>
                  <a:xfrm>
                    <a:off x="0" y="0"/>
                    <a:ext cx="252771" cy="313077"/>
                  </a:xfrm>
                  <a:prstGeom prst="rect">
                    <a:avLst/>
                  </a:prstGeom>
                </pic:spPr>
              </pic:pic>
            </a:graphicData>
          </a:graphic>
        </wp:inline>
      </w:drawing>
    </w:r>
    <w:r w:rsidRPr="006A31AE">
      <w:rPr>
        <w:b/>
        <w:noProof/>
        <w:color w:val="808080"/>
        <w:lang w:eastAsia="en-GB"/>
      </w:rPr>
      <w:drawing>
        <wp:inline distT="0" distB="0" distL="0" distR="0" wp14:anchorId="240BD096" wp14:editId="744DD5CB">
          <wp:extent cx="347420" cy="326258"/>
          <wp:effectExtent l="19050" t="0" r="0" b="0"/>
          <wp:docPr id="4129" name="Picture 0" descr="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png"/>
                  <pic:cNvPicPr/>
                </pic:nvPicPr>
                <pic:blipFill>
                  <a:blip r:embed="rId3">
                    <a:duotone>
                      <a:schemeClr val="bg2">
                        <a:shade val="45000"/>
                        <a:satMod val="135000"/>
                      </a:schemeClr>
                      <a:prstClr val="white"/>
                    </a:duotone>
                  </a:blip>
                  <a:stretch>
                    <a:fillRect/>
                  </a:stretch>
                </pic:blipFill>
                <pic:spPr>
                  <a:xfrm>
                    <a:off x="0" y="0"/>
                    <a:ext cx="347420" cy="326258"/>
                  </a:xfrm>
                  <a:prstGeom prst="rect">
                    <a:avLst/>
                  </a:prstGeom>
                </pic:spPr>
              </pic:pic>
            </a:graphicData>
          </a:graphic>
        </wp:inline>
      </w:drawing>
    </w:r>
    <w:r w:rsidRPr="006A31AE">
      <w:rPr>
        <w:b/>
        <w:noProof/>
        <w:color w:val="808080"/>
        <w:lang w:eastAsia="en-GB"/>
      </w:rPr>
      <w:drawing>
        <wp:inline distT="0" distB="0" distL="0" distR="0" wp14:anchorId="690FBBA3" wp14:editId="1B9E55D3">
          <wp:extent cx="514350" cy="322489"/>
          <wp:effectExtent l="19050" t="0" r="0" b="0"/>
          <wp:docPr id="4130" name="Picture 2" descr="Gradu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uation.png"/>
                  <pic:cNvPicPr/>
                </pic:nvPicPr>
                <pic:blipFill>
                  <a:blip r:embed="rId4">
                    <a:duotone>
                      <a:schemeClr val="bg2">
                        <a:shade val="45000"/>
                        <a:satMod val="135000"/>
                      </a:schemeClr>
                      <a:prstClr val="white"/>
                    </a:duotone>
                  </a:blip>
                  <a:stretch>
                    <a:fillRect/>
                  </a:stretch>
                </pic:blipFill>
                <pic:spPr>
                  <a:xfrm>
                    <a:off x="0" y="0"/>
                    <a:ext cx="512022" cy="321029"/>
                  </a:xfrm>
                  <a:prstGeom prst="rect">
                    <a:avLst/>
                  </a:prstGeom>
                </pic:spPr>
              </pic:pic>
            </a:graphicData>
          </a:graphic>
        </wp:inline>
      </w:drawing>
    </w:r>
    <w:r w:rsidRPr="006A31AE">
      <w:rPr>
        <w:b/>
        <w:noProof/>
        <w:color w:val="808080"/>
        <w:lang w:eastAsia="en-GB"/>
      </w:rPr>
      <w:drawing>
        <wp:inline distT="0" distB="0" distL="0" distR="0" wp14:anchorId="244F51ED" wp14:editId="1206B583">
          <wp:extent cx="466725" cy="266700"/>
          <wp:effectExtent l="19050" t="0" r="9525" b="0"/>
          <wp:docPr id="4131"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
                    <a:duotone>
                      <a:schemeClr val="bg2">
                        <a:shade val="45000"/>
                        <a:satMod val="135000"/>
                      </a:schemeClr>
                      <a:prstClr val="white"/>
                    </a:duotone>
                  </a:blip>
                  <a:srcRect/>
                  <a:stretch>
                    <a:fillRect/>
                  </a:stretch>
                </pic:blipFill>
                <pic:spPr bwMode="auto">
                  <a:xfrm>
                    <a:off x="0" y="0"/>
                    <a:ext cx="466027" cy="266301"/>
                  </a:xfrm>
                  <a:prstGeom prst="rect">
                    <a:avLst/>
                  </a:prstGeom>
                  <a:noFill/>
                  <a:ln w="9525">
                    <a:noFill/>
                    <a:miter lim="800000"/>
                    <a:headEnd/>
                    <a:tailEnd/>
                  </a:ln>
                  <a:effectLst/>
                </pic:spPr>
              </pic:pic>
            </a:graphicData>
          </a:graphic>
        </wp:inline>
      </w:drawing>
    </w:r>
    <w:r w:rsidRPr="006A31AE">
      <w:rPr>
        <w:b/>
        <w:noProof/>
        <w:color w:val="808080"/>
        <w:lang w:eastAsia="en-GB"/>
      </w:rPr>
      <w:drawing>
        <wp:inline distT="0" distB="0" distL="0" distR="0" wp14:anchorId="266E0FD9" wp14:editId="6762C694">
          <wp:extent cx="277850" cy="324394"/>
          <wp:effectExtent l="19050" t="0" r="7900" b="0"/>
          <wp:docPr id="4132" name="Picture 17" descr="Ho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png"/>
                  <pic:cNvPicPr/>
                </pic:nvPicPr>
                <pic:blipFill>
                  <a:blip r:embed="rId6"/>
                  <a:stretch>
                    <a:fillRect/>
                  </a:stretch>
                </pic:blipFill>
                <pic:spPr>
                  <a:xfrm>
                    <a:off x="0" y="0"/>
                    <a:ext cx="277850" cy="324394"/>
                  </a:xfrm>
                  <a:prstGeom prst="rect">
                    <a:avLst/>
                  </a:prstGeom>
                </pic:spPr>
              </pic:pic>
            </a:graphicData>
          </a:graphic>
        </wp:inline>
      </w:drawing>
    </w:r>
    <w:r w:rsidRPr="006A31AE">
      <w:rPr>
        <w:b/>
        <w:noProof/>
        <w:color w:val="808080"/>
        <w:lang w:eastAsia="en-GB"/>
      </w:rPr>
      <w:drawing>
        <wp:inline distT="0" distB="0" distL="0" distR="0" wp14:anchorId="5369184C" wp14:editId="01D5F11B">
          <wp:extent cx="390525" cy="379922"/>
          <wp:effectExtent l="19050" t="0" r="9525" b="0"/>
          <wp:docPr id="4133" name="Picture 6" descr="Peo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ople.png"/>
                  <pic:cNvPicPr/>
                </pic:nvPicPr>
                <pic:blipFill>
                  <a:blip r:embed="rId7">
                    <a:duotone>
                      <a:schemeClr val="bg2">
                        <a:shade val="45000"/>
                        <a:satMod val="135000"/>
                      </a:schemeClr>
                      <a:prstClr val="white"/>
                    </a:duotone>
                  </a:blip>
                  <a:stretch>
                    <a:fillRect/>
                  </a:stretch>
                </pic:blipFill>
                <pic:spPr>
                  <a:xfrm>
                    <a:off x="0" y="0"/>
                    <a:ext cx="390419" cy="379819"/>
                  </a:xfrm>
                  <a:prstGeom prst="rect">
                    <a:avLst/>
                  </a:prstGeom>
                </pic:spPr>
              </pic:pic>
            </a:graphicData>
          </a:graphic>
        </wp:inline>
      </w:drawing>
    </w:r>
    <w:r w:rsidRPr="006A31AE">
      <w:rPr>
        <w:b/>
        <w:noProof/>
        <w:color w:val="808080"/>
        <w:lang w:eastAsia="en-GB"/>
      </w:rPr>
      <w:drawing>
        <wp:inline distT="0" distB="0" distL="0" distR="0" wp14:anchorId="078F55F4" wp14:editId="20E12D83">
          <wp:extent cx="295275" cy="295275"/>
          <wp:effectExtent l="19050" t="0" r="9525" b="0"/>
          <wp:docPr id="4134" name="Picture 15"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8">
                    <a:duotone>
                      <a:schemeClr val="bg2">
                        <a:shade val="45000"/>
                        <a:satMod val="135000"/>
                      </a:schemeClr>
                      <a:prstClr val="white"/>
                    </a:duotone>
                  </a:blip>
                  <a:stretch>
                    <a:fillRect/>
                  </a:stretch>
                </pic:blipFill>
                <pic:spPr>
                  <a:xfrm>
                    <a:off x="0" y="0"/>
                    <a:ext cx="295251" cy="295251"/>
                  </a:xfrm>
                  <a:prstGeom prst="rect">
                    <a:avLst/>
                  </a:prstGeom>
                </pic:spPr>
              </pic:pic>
            </a:graphicData>
          </a:graphic>
        </wp:inline>
      </w:drawing>
    </w:r>
    <w:r w:rsidRPr="006A31AE">
      <w:rPr>
        <w:b/>
        <w:noProof/>
        <w:color w:val="808080"/>
        <w:lang w:eastAsia="en-GB"/>
      </w:rPr>
      <w:drawing>
        <wp:inline distT="0" distB="0" distL="0" distR="0" wp14:anchorId="799BCA14" wp14:editId="68A44781">
          <wp:extent cx="295275" cy="313262"/>
          <wp:effectExtent l="19050" t="0" r="9525" b="0"/>
          <wp:docPr id="4135" name="Picture 5" descr="Child and elder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 and elderly.png"/>
                  <pic:cNvPicPr/>
                </pic:nvPicPr>
                <pic:blipFill>
                  <a:blip r:embed="rId9">
                    <a:duotone>
                      <a:schemeClr val="bg2">
                        <a:shade val="45000"/>
                        <a:satMod val="135000"/>
                      </a:schemeClr>
                      <a:prstClr val="white"/>
                    </a:duotone>
                  </a:blip>
                  <a:stretch>
                    <a:fillRect/>
                  </a:stretch>
                </pic:blipFill>
                <pic:spPr>
                  <a:xfrm>
                    <a:off x="0" y="0"/>
                    <a:ext cx="297362" cy="315476"/>
                  </a:xfrm>
                  <a:prstGeom prst="rect">
                    <a:avLst/>
                  </a:prstGeom>
                </pic:spPr>
              </pic:pic>
            </a:graphicData>
          </a:graphic>
        </wp:inline>
      </w:drawing>
    </w:r>
  </w:p>
  <w:p w:rsidR="00721450" w:rsidRPr="006A31AE" w:rsidRDefault="00721450" w:rsidP="006A31AE">
    <w:pPr>
      <w:pStyle w:val="Header"/>
      <w:tabs>
        <w:tab w:val="clear" w:pos="4513"/>
        <w:tab w:val="clear" w:pos="9026"/>
      </w:tabs>
      <w:rPr>
        <w:b/>
        <w:color w:val="808080"/>
      </w:rPr>
    </w:pPr>
    <w:r w:rsidRPr="006A31AE">
      <w:rPr>
        <w:b/>
        <w:noProof/>
        <w:color w:val="FFFFFF"/>
        <w:lang w:eastAsia="en-GB"/>
      </w:rPr>
      <mc:AlternateContent>
        <mc:Choice Requires="wps">
          <w:drawing>
            <wp:anchor distT="4294967294" distB="4294967294" distL="114300" distR="114300" simplePos="0" relativeHeight="251656704" behindDoc="0" locked="0" layoutInCell="1" allowOverlap="1" wp14:anchorId="01580732" wp14:editId="2918A8C9">
              <wp:simplePos x="0" y="0"/>
              <wp:positionH relativeFrom="column">
                <wp:posOffset>-914400</wp:posOffset>
              </wp:positionH>
              <wp:positionV relativeFrom="paragraph">
                <wp:posOffset>136987</wp:posOffset>
              </wp:positionV>
              <wp:extent cx="10782300" cy="0"/>
              <wp:effectExtent l="0" t="0" r="19050" b="19050"/>
              <wp:wrapNone/>
              <wp:docPr id="4119"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82300" cy="0"/>
                      </a:xfrm>
                      <a:prstGeom prst="line">
                        <a:avLst/>
                      </a:prstGeom>
                      <a:noFill/>
                      <a:ln w="25400" cap="flat" cmpd="sng" algn="ctr">
                        <a:solidFill>
                          <a:sysClr val="window" lastClr="FFFFFF">
                            <a:lumMod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71E40B80" id="Straight Connector 10" o:spid="_x0000_s1026" style="position:absolute;z-index:2516643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in,10.8pt" to="777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" strokecolor="#7f7f7f" strokeweight="2pt">
              <o:lock v:ext="edit" shapetype="f"/>
            </v:lin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1450" w:rsidRPr="006A31AE" w:rsidRDefault="00721450" w:rsidP="006A31AE">
    <w:pPr>
      <w:pStyle w:val="Header"/>
      <w:tabs>
        <w:tab w:val="clear" w:pos="4513"/>
        <w:tab w:val="clear" w:pos="9026"/>
      </w:tabs>
      <w:rPr>
        <w:b/>
        <w:color w:val="808080"/>
      </w:rPr>
    </w:pPr>
    <w:r w:rsidRPr="006A31AE">
      <w:rPr>
        <w:b/>
        <w:color w:val="808080"/>
      </w:rPr>
      <w:t xml:space="preserve">Borough Profile – </w:t>
    </w:r>
    <w:r>
      <w:rPr>
        <w:b/>
        <w:color w:val="808080"/>
      </w:rPr>
      <w:t>Deprivation</w:t>
    </w:r>
    <w:r>
      <w:rPr>
        <w:b/>
        <w:color w:val="808080"/>
      </w:rPr>
      <w:tab/>
    </w:r>
    <w:r>
      <w:rPr>
        <w:b/>
        <w:color w:val="808080"/>
      </w:rPr>
      <w:tab/>
    </w:r>
    <w:r w:rsidRPr="006A31AE">
      <w:rPr>
        <w:b/>
        <w:color w:val="808080"/>
      </w:rPr>
      <w:tab/>
    </w:r>
    <w:r w:rsidRPr="006A31AE">
      <w:rPr>
        <w:b/>
        <w:color w:val="808080"/>
      </w:rPr>
      <w:tab/>
    </w:r>
    <w:r w:rsidRPr="006A31AE">
      <w:rPr>
        <w:b/>
        <w:color w:val="808080"/>
      </w:rPr>
      <w:tab/>
    </w:r>
    <w:r w:rsidRPr="006A31AE">
      <w:rPr>
        <w:b/>
        <w:color w:val="808080"/>
      </w:rPr>
      <w:tab/>
    </w:r>
    <w:r w:rsidRPr="006A31AE">
      <w:rPr>
        <w:b/>
        <w:color w:val="808080"/>
      </w:rPr>
      <w:tab/>
    </w:r>
    <w:r w:rsidRPr="006A31AE">
      <w:rPr>
        <w:b/>
        <w:noProof/>
        <w:color w:val="808080"/>
        <w:lang w:eastAsia="en-GB"/>
      </w:rPr>
      <w:drawing>
        <wp:inline distT="0" distB="0" distL="0" distR="0" wp14:anchorId="1D748C14" wp14:editId="1B2E89F3">
          <wp:extent cx="352513" cy="372543"/>
          <wp:effectExtent l="19050" t="0" r="9437" b="0"/>
          <wp:docPr id="13505" name="Picture 3" descr="Borough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ough small.png"/>
                  <pic:cNvPicPr/>
                </pic:nvPicPr>
                <pic:blipFill>
                  <a:blip r:embed="rId1">
                    <a:duotone>
                      <a:schemeClr val="bg2">
                        <a:shade val="45000"/>
                        <a:satMod val="135000"/>
                      </a:schemeClr>
                      <a:prstClr val="white"/>
                    </a:duotone>
                  </a:blip>
                  <a:stretch>
                    <a:fillRect/>
                  </a:stretch>
                </pic:blipFill>
                <pic:spPr>
                  <a:xfrm>
                    <a:off x="0" y="0"/>
                    <a:ext cx="352513" cy="372543"/>
                  </a:xfrm>
                  <a:prstGeom prst="rect">
                    <a:avLst/>
                  </a:prstGeom>
                </pic:spPr>
              </pic:pic>
            </a:graphicData>
          </a:graphic>
        </wp:inline>
      </w:drawing>
    </w:r>
    <w:r w:rsidRPr="006A31AE">
      <w:rPr>
        <w:b/>
        <w:noProof/>
        <w:color w:val="808080"/>
        <w:lang w:eastAsia="en-GB"/>
      </w:rPr>
      <w:drawing>
        <wp:inline distT="0" distB="0" distL="0" distR="0" wp14:anchorId="636EE8F8" wp14:editId="30EC6D0D">
          <wp:extent cx="252771" cy="313077"/>
          <wp:effectExtent l="19050" t="0" r="0" b="0"/>
          <wp:docPr id="13506" name="Picture 18" descr="co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ns.png"/>
                  <pic:cNvPicPr/>
                </pic:nvPicPr>
                <pic:blipFill>
                  <a:blip r:embed="rId2">
                    <a:duotone>
                      <a:schemeClr val="bg2">
                        <a:shade val="45000"/>
                        <a:satMod val="135000"/>
                      </a:schemeClr>
                      <a:prstClr val="white"/>
                    </a:duotone>
                  </a:blip>
                  <a:stretch>
                    <a:fillRect/>
                  </a:stretch>
                </pic:blipFill>
                <pic:spPr>
                  <a:xfrm>
                    <a:off x="0" y="0"/>
                    <a:ext cx="252771" cy="313077"/>
                  </a:xfrm>
                  <a:prstGeom prst="rect">
                    <a:avLst/>
                  </a:prstGeom>
                </pic:spPr>
              </pic:pic>
            </a:graphicData>
          </a:graphic>
        </wp:inline>
      </w:drawing>
    </w:r>
    <w:r w:rsidRPr="006A31AE">
      <w:rPr>
        <w:b/>
        <w:noProof/>
        <w:color w:val="808080"/>
        <w:lang w:eastAsia="en-GB"/>
      </w:rPr>
      <w:drawing>
        <wp:inline distT="0" distB="0" distL="0" distR="0" wp14:anchorId="79206855" wp14:editId="6B4F7232">
          <wp:extent cx="347420" cy="326258"/>
          <wp:effectExtent l="19050" t="0" r="0" b="0"/>
          <wp:docPr id="13507" name="Picture 0" descr="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png"/>
                  <pic:cNvPicPr/>
                </pic:nvPicPr>
                <pic:blipFill>
                  <a:blip r:embed="rId3">
                    <a:duotone>
                      <a:schemeClr val="bg2">
                        <a:shade val="45000"/>
                        <a:satMod val="135000"/>
                      </a:schemeClr>
                      <a:prstClr val="white"/>
                    </a:duotone>
                  </a:blip>
                  <a:stretch>
                    <a:fillRect/>
                  </a:stretch>
                </pic:blipFill>
                <pic:spPr>
                  <a:xfrm>
                    <a:off x="0" y="0"/>
                    <a:ext cx="347420" cy="326258"/>
                  </a:xfrm>
                  <a:prstGeom prst="rect">
                    <a:avLst/>
                  </a:prstGeom>
                </pic:spPr>
              </pic:pic>
            </a:graphicData>
          </a:graphic>
        </wp:inline>
      </w:drawing>
    </w:r>
    <w:r w:rsidRPr="006A31AE">
      <w:rPr>
        <w:b/>
        <w:noProof/>
        <w:color w:val="808080"/>
        <w:lang w:eastAsia="en-GB"/>
      </w:rPr>
      <w:drawing>
        <wp:inline distT="0" distB="0" distL="0" distR="0" wp14:anchorId="61DCE8F7" wp14:editId="72E22EDC">
          <wp:extent cx="514350" cy="322489"/>
          <wp:effectExtent l="19050" t="0" r="0" b="0"/>
          <wp:docPr id="13508" name="Picture 2" descr="Gradu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uation.png"/>
                  <pic:cNvPicPr/>
                </pic:nvPicPr>
                <pic:blipFill>
                  <a:blip r:embed="rId4">
                    <a:duotone>
                      <a:schemeClr val="bg2">
                        <a:shade val="45000"/>
                        <a:satMod val="135000"/>
                      </a:schemeClr>
                      <a:prstClr val="white"/>
                    </a:duotone>
                  </a:blip>
                  <a:stretch>
                    <a:fillRect/>
                  </a:stretch>
                </pic:blipFill>
                <pic:spPr>
                  <a:xfrm>
                    <a:off x="0" y="0"/>
                    <a:ext cx="512022" cy="321029"/>
                  </a:xfrm>
                  <a:prstGeom prst="rect">
                    <a:avLst/>
                  </a:prstGeom>
                </pic:spPr>
              </pic:pic>
            </a:graphicData>
          </a:graphic>
        </wp:inline>
      </w:drawing>
    </w:r>
    <w:r w:rsidRPr="006A31AE">
      <w:rPr>
        <w:b/>
        <w:noProof/>
        <w:color w:val="808080"/>
        <w:lang w:eastAsia="en-GB"/>
      </w:rPr>
      <w:drawing>
        <wp:inline distT="0" distB="0" distL="0" distR="0" wp14:anchorId="6A2C93AC" wp14:editId="4B2A2119">
          <wp:extent cx="466725" cy="266700"/>
          <wp:effectExtent l="19050" t="0" r="9525" b="0"/>
          <wp:docPr id="13509"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
                    <a:duotone>
                      <a:schemeClr val="bg2">
                        <a:shade val="45000"/>
                        <a:satMod val="135000"/>
                      </a:schemeClr>
                      <a:prstClr val="white"/>
                    </a:duotone>
                  </a:blip>
                  <a:srcRect/>
                  <a:stretch>
                    <a:fillRect/>
                  </a:stretch>
                </pic:blipFill>
                <pic:spPr bwMode="auto">
                  <a:xfrm>
                    <a:off x="0" y="0"/>
                    <a:ext cx="466027" cy="266301"/>
                  </a:xfrm>
                  <a:prstGeom prst="rect">
                    <a:avLst/>
                  </a:prstGeom>
                  <a:noFill/>
                  <a:ln w="9525">
                    <a:noFill/>
                    <a:miter lim="800000"/>
                    <a:headEnd/>
                    <a:tailEnd/>
                  </a:ln>
                  <a:effectLst/>
                </pic:spPr>
              </pic:pic>
            </a:graphicData>
          </a:graphic>
        </wp:inline>
      </w:drawing>
    </w:r>
    <w:r w:rsidRPr="006A31AE">
      <w:rPr>
        <w:b/>
        <w:noProof/>
        <w:color w:val="808080"/>
        <w:lang w:eastAsia="en-GB"/>
      </w:rPr>
      <w:drawing>
        <wp:inline distT="0" distB="0" distL="0" distR="0" wp14:anchorId="2A44A056" wp14:editId="25C7DE6F">
          <wp:extent cx="277850" cy="324394"/>
          <wp:effectExtent l="19050" t="0" r="7900" b="0"/>
          <wp:docPr id="13510" name="Picture 17" descr="Ho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png"/>
                  <pic:cNvPicPr/>
                </pic:nvPicPr>
                <pic:blipFill>
                  <a:blip r:embed="rId6"/>
                  <a:stretch>
                    <a:fillRect/>
                  </a:stretch>
                </pic:blipFill>
                <pic:spPr>
                  <a:xfrm>
                    <a:off x="0" y="0"/>
                    <a:ext cx="277850" cy="324394"/>
                  </a:xfrm>
                  <a:prstGeom prst="rect">
                    <a:avLst/>
                  </a:prstGeom>
                </pic:spPr>
              </pic:pic>
            </a:graphicData>
          </a:graphic>
        </wp:inline>
      </w:drawing>
    </w:r>
    <w:r w:rsidRPr="006A31AE">
      <w:rPr>
        <w:b/>
        <w:noProof/>
        <w:color w:val="808080"/>
        <w:lang w:eastAsia="en-GB"/>
      </w:rPr>
      <w:drawing>
        <wp:inline distT="0" distB="0" distL="0" distR="0" wp14:anchorId="7FACFDF8" wp14:editId="2A981565">
          <wp:extent cx="390525" cy="379922"/>
          <wp:effectExtent l="19050" t="0" r="9525" b="0"/>
          <wp:docPr id="13511" name="Picture 6" descr="Peo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ople.png"/>
                  <pic:cNvPicPr/>
                </pic:nvPicPr>
                <pic:blipFill>
                  <a:blip r:embed="rId7">
                    <a:duotone>
                      <a:schemeClr val="bg2">
                        <a:shade val="45000"/>
                        <a:satMod val="135000"/>
                      </a:schemeClr>
                      <a:prstClr val="white"/>
                    </a:duotone>
                  </a:blip>
                  <a:stretch>
                    <a:fillRect/>
                  </a:stretch>
                </pic:blipFill>
                <pic:spPr>
                  <a:xfrm>
                    <a:off x="0" y="0"/>
                    <a:ext cx="390419" cy="379819"/>
                  </a:xfrm>
                  <a:prstGeom prst="rect">
                    <a:avLst/>
                  </a:prstGeom>
                </pic:spPr>
              </pic:pic>
            </a:graphicData>
          </a:graphic>
        </wp:inline>
      </w:drawing>
    </w:r>
    <w:r w:rsidRPr="006A31AE">
      <w:rPr>
        <w:b/>
        <w:noProof/>
        <w:color w:val="808080"/>
        <w:lang w:eastAsia="en-GB"/>
      </w:rPr>
      <w:drawing>
        <wp:inline distT="0" distB="0" distL="0" distR="0" wp14:anchorId="277998BD" wp14:editId="7EE5445A">
          <wp:extent cx="295275" cy="295275"/>
          <wp:effectExtent l="19050" t="0" r="9525" b="0"/>
          <wp:docPr id="13512" name="Picture 15"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8">
                    <a:duotone>
                      <a:schemeClr val="bg2">
                        <a:shade val="45000"/>
                        <a:satMod val="135000"/>
                      </a:schemeClr>
                      <a:prstClr val="white"/>
                    </a:duotone>
                  </a:blip>
                  <a:stretch>
                    <a:fillRect/>
                  </a:stretch>
                </pic:blipFill>
                <pic:spPr>
                  <a:xfrm>
                    <a:off x="0" y="0"/>
                    <a:ext cx="295251" cy="295251"/>
                  </a:xfrm>
                  <a:prstGeom prst="rect">
                    <a:avLst/>
                  </a:prstGeom>
                </pic:spPr>
              </pic:pic>
            </a:graphicData>
          </a:graphic>
        </wp:inline>
      </w:drawing>
    </w:r>
    <w:r w:rsidRPr="006A31AE">
      <w:rPr>
        <w:b/>
        <w:noProof/>
        <w:color w:val="808080"/>
        <w:lang w:eastAsia="en-GB"/>
      </w:rPr>
      <w:drawing>
        <wp:inline distT="0" distB="0" distL="0" distR="0" wp14:anchorId="3C7C2BA7" wp14:editId="02A3825C">
          <wp:extent cx="295275" cy="313262"/>
          <wp:effectExtent l="19050" t="0" r="9525" b="0"/>
          <wp:docPr id="13513" name="Picture 5" descr="Child and elder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 and elderly.png"/>
                  <pic:cNvPicPr/>
                </pic:nvPicPr>
                <pic:blipFill>
                  <a:blip r:embed="rId9">
                    <a:duotone>
                      <a:schemeClr val="bg2">
                        <a:shade val="45000"/>
                        <a:satMod val="135000"/>
                      </a:schemeClr>
                      <a:prstClr val="white"/>
                    </a:duotone>
                  </a:blip>
                  <a:stretch>
                    <a:fillRect/>
                  </a:stretch>
                </pic:blipFill>
                <pic:spPr>
                  <a:xfrm>
                    <a:off x="0" y="0"/>
                    <a:ext cx="297362" cy="315476"/>
                  </a:xfrm>
                  <a:prstGeom prst="rect">
                    <a:avLst/>
                  </a:prstGeom>
                </pic:spPr>
              </pic:pic>
            </a:graphicData>
          </a:graphic>
        </wp:inline>
      </w:drawing>
    </w:r>
  </w:p>
  <w:p w:rsidR="00721450" w:rsidRPr="006A31AE" w:rsidRDefault="00721450" w:rsidP="006A31AE">
    <w:pPr>
      <w:pStyle w:val="Header"/>
      <w:tabs>
        <w:tab w:val="clear" w:pos="4513"/>
        <w:tab w:val="clear" w:pos="9026"/>
      </w:tabs>
      <w:rPr>
        <w:b/>
        <w:color w:val="808080"/>
      </w:rPr>
    </w:pPr>
    <w:r w:rsidRPr="006A31AE">
      <w:rPr>
        <w:b/>
        <w:noProof/>
        <w:color w:val="FFFFFF"/>
        <w:lang w:eastAsia="en-GB"/>
      </w:rPr>
      <mc:AlternateContent>
        <mc:Choice Requires="wps">
          <w:drawing>
            <wp:anchor distT="4294967294" distB="4294967294" distL="114300" distR="114300" simplePos="0" relativeHeight="251657728" behindDoc="0" locked="0" layoutInCell="1" allowOverlap="1" wp14:anchorId="55CCAAFC" wp14:editId="27C85BCB">
              <wp:simplePos x="0" y="0"/>
              <wp:positionH relativeFrom="column">
                <wp:posOffset>-914400</wp:posOffset>
              </wp:positionH>
              <wp:positionV relativeFrom="paragraph">
                <wp:posOffset>136987</wp:posOffset>
              </wp:positionV>
              <wp:extent cx="10782300" cy="0"/>
              <wp:effectExtent l="0" t="0" r="19050" b="19050"/>
              <wp:wrapNone/>
              <wp:docPr id="4172"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82300" cy="0"/>
                      </a:xfrm>
                      <a:prstGeom prst="line">
                        <a:avLst/>
                      </a:prstGeom>
                      <a:noFill/>
                      <a:ln w="25400" cap="flat" cmpd="sng" algn="ctr">
                        <a:solidFill>
                          <a:sysClr val="window" lastClr="FFFFFF">
                            <a:lumMod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1911FFEF" id="Straight Connector 10" o:spid="_x0000_s1026" style="position:absolute;z-index:2516684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in,10.8pt" to="777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" strokecolor="#7f7f7f" strokeweight="2pt">
              <o:lock v:ext="edit" shapetype="f"/>
            </v:line>
          </w:pict>
        </mc:Fallback>
      </mc:AlternateContent>
    </w:r>
  </w:p>
  <w:p w:rsidR="00721450" w:rsidRPr="006A31AE" w:rsidRDefault="00721450" w:rsidP="006A31AE">
    <w:pPr>
      <w:pStyle w:val="Header"/>
      <w:tabs>
        <w:tab w:val="clear" w:pos="4513"/>
        <w:tab w:val="clear" w:pos="9026"/>
      </w:tabs>
      <w:rPr>
        <w:b/>
        <w:color w:val="808080"/>
      </w:rPr>
    </w:pPr>
  </w:p>
  <w:p w:rsidR="00721450" w:rsidRPr="006A31AE" w:rsidRDefault="00721450" w:rsidP="006A31AE">
    <w:pPr>
      <w:pStyle w:val="Header"/>
      <w:tabs>
        <w:tab w:val="clear" w:pos="4513"/>
        <w:tab w:val="clear" w:pos="9026"/>
      </w:tabs>
      <w:rPr>
        <w:b/>
        <w:color w:val="808080"/>
      </w:rPr>
    </w:pPr>
    <w:r w:rsidRPr="006A31AE">
      <w:rPr>
        <w:b/>
        <w:color w:val="808080"/>
      </w:rPr>
      <w:tab/>
    </w:r>
    <w:r w:rsidRPr="006A31AE">
      <w:rPr>
        <w:b/>
        <w:color w:val="808080"/>
      </w:rPr>
      <w:tab/>
    </w:r>
  </w:p>
  <w:p w:rsidR="00721450" w:rsidRDefault="00721450">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1450" w:rsidRPr="006A31AE" w:rsidRDefault="00721450" w:rsidP="006A31AE">
    <w:pPr>
      <w:pStyle w:val="Header"/>
      <w:tabs>
        <w:tab w:val="clear" w:pos="4513"/>
        <w:tab w:val="clear" w:pos="9026"/>
      </w:tabs>
      <w:rPr>
        <w:b/>
        <w:color w:val="808080"/>
      </w:rPr>
    </w:pPr>
    <w:r w:rsidRPr="006A31AE">
      <w:rPr>
        <w:b/>
        <w:color w:val="808080"/>
      </w:rPr>
      <w:t xml:space="preserve">Borough Profile – </w:t>
    </w:r>
    <w:r>
      <w:rPr>
        <w:b/>
        <w:color w:val="808080"/>
      </w:rPr>
      <w:t>Education and Skills</w:t>
    </w:r>
    <w:r w:rsidRPr="006A31AE">
      <w:rPr>
        <w:b/>
        <w:color w:val="808080"/>
      </w:rPr>
      <w:tab/>
    </w:r>
    <w:r w:rsidRPr="006A31AE">
      <w:rPr>
        <w:b/>
        <w:color w:val="808080"/>
      </w:rPr>
      <w:tab/>
    </w:r>
    <w:r w:rsidRPr="006A31AE">
      <w:rPr>
        <w:b/>
        <w:color w:val="808080"/>
      </w:rPr>
      <w:tab/>
    </w:r>
    <w:r w:rsidRPr="006A31AE">
      <w:rPr>
        <w:b/>
        <w:color w:val="808080"/>
      </w:rPr>
      <w:tab/>
    </w:r>
    <w:r w:rsidRPr="006A31AE">
      <w:rPr>
        <w:b/>
        <w:color w:val="808080"/>
      </w:rPr>
      <w:tab/>
    </w:r>
    <w:r w:rsidRPr="006A31AE">
      <w:rPr>
        <w:b/>
        <w:noProof/>
        <w:color w:val="808080"/>
        <w:lang w:eastAsia="en-GB"/>
      </w:rPr>
      <w:drawing>
        <wp:inline distT="0" distB="0" distL="0" distR="0" wp14:anchorId="0B08C55B" wp14:editId="6A87F88A">
          <wp:extent cx="352513" cy="372543"/>
          <wp:effectExtent l="19050" t="0" r="9437" b="0"/>
          <wp:docPr id="10" name="Picture 3" descr="Borough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ough small.png"/>
                  <pic:cNvPicPr/>
                </pic:nvPicPr>
                <pic:blipFill>
                  <a:blip r:embed="rId1">
                    <a:duotone>
                      <a:schemeClr val="bg2">
                        <a:shade val="45000"/>
                        <a:satMod val="135000"/>
                      </a:schemeClr>
                      <a:prstClr val="white"/>
                    </a:duotone>
                  </a:blip>
                  <a:stretch>
                    <a:fillRect/>
                  </a:stretch>
                </pic:blipFill>
                <pic:spPr>
                  <a:xfrm>
                    <a:off x="0" y="0"/>
                    <a:ext cx="352513" cy="372543"/>
                  </a:xfrm>
                  <a:prstGeom prst="rect">
                    <a:avLst/>
                  </a:prstGeom>
                </pic:spPr>
              </pic:pic>
            </a:graphicData>
          </a:graphic>
        </wp:inline>
      </w:drawing>
    </w:r>
    <w:r w:rsidRPr="006A31AE">
      <w:rPr>
        <w:b/>
        <w:noProof/>
        <w:color w:val="808080"/>
        <w:lang w:eastAsia="en-GB"/>
      </w:rPr>
      <w:drawing>
        <wp:inline distT="0" distB="0" distL="0" distR="0" wp14:anchorId="7D56C715" wp14:editId="052061A0">
          <wp:extent cx="252771" cy="313077"/>
          <wp:effectExtent l="19050" t="0" r="0" b="0"/>
          <wp:docPr id="13973" name="Picture 18" descr="co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ns.png"/>
                  <pic:cNvPicPr/>
                </pic:nvPicPr>
                <pic:blipFill>
                  <a:blip r:embed="rId2">
                    <a:duotone>
                      <a:schemeClr val="bg2">
                        <a:shade val="45000"/>
                        <a:satMod val="135000"/>
                      </a:schemeClr>
                      <a:prstClr val="white"/>
                    </a:duotone>
                  </a:blip>
                  <a:stretch>
                    <a:fillRect/>
                  </a:stretch>
                </pic:blipFill>
                <pic:spPr>
                  <a:xfrm>
                    <a:off x="0" y="0"/>
                    <a:ext cx="252771" cy="313077"/>
                  </a:xfrm>
                  <a:prstGeom prst="rect">
                    <a:avLst/>
                  </a:prstGeom>
                </pic:spPr>
              </pic:pic>
            </a:graphicData>
          </a:graphic>
        </wp:inline>
      </w:drawing>
    </w:r>
    <w:r w:rsidRPr="006A31AE">
      <w:rPr>
        <w:b/>
        <w:noProof/>
        <w:color w:val="808080"/>
        <w:lang w:eastAsia="en-GB"/>
      </w:rPr>
      <w:drawing>
        <wp:inline distT="0" distB="0" distL="0" distR="0" wp14:anchorId="464DE74E" wp14:editId="35AF6D4F">
          <wp:extent cx="347420" cy="326258"/>
          <wp:effectExtent l="19050" t="0" r="0" b="0"/>
          <wp:docPr id="13974" name="Picture 0" descr="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png"/>
                  <pic:cNvPicPr/>
                </pic:nvPicPr>
                <pic:blipFill>
                  <a:blip r:embed="rId3">
                    <a:duotone>
                      <a:schemeClr val="bg2">
                        <a:shade val="45000"/>
                        <a:satMod val="135000"/>
                      </a:schemeClr>
                      <a:prstClr val="white"/>
                    </a:duotone>
                  </a:blip>
                  <a:stretch>
                    <a:fillRect/>
                  </a:stretch>
                </pic:blipFill>
                <pic:spPr>
                  <a:xfrm>
                    <a:off x="0" y="0"/>
                    <a:ext cx="347420" cy="326258"/>
                  </a:xfrm>
                  <a:prstGeom prst="rect">
                    <a:avLst/>
                  </a:prstGeom>
                </pic:spPr>
              </pic:pic>
            </a:graphicData>
          </a:graphic>
        </wp:inline>
      </w:drawing>
    </w:r>
    <w:r w:rsidRPr="006A31AE">
      <w:rPr>
        <w:b/>
        <w:noProof/>
        <w:color w:val="808080"/>
        <w:lang w:eastAsia="en-GB"/>
      </w:rPr>
      <w:drawing>
        <wp:inline distT="0" distB="0" distL="0" distR="0" wp14:anchorId="26013E9A" wp14:editId="18CB57B0">
          <wp:extent cx="514350" cy="322489"/>
          <wp:effectExtent l="19050" t="0" r="0" b="0"/>
          <wp:docPr id="13975" name="Picture 2" descr="Gradu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uation.png"/>
                  <pic:cNvPicPr/>
                </pic:nvPicPr>
                <pic:blipFill>
                  <a:blip r:embed="rId4">
                    <a:duotone>
                      <a:schemeClr val="bg2">
                        <a:shade val="45000"/>
                        <a:satMod val="135000"/>
                      </a:schemeClr>
                      <a:prstClr val="white"/>
                    </a:duotone>
                  </a:blip>
                  <a:stretch>
                    <a:fillRect/>
                  </a:stretch>
                </pic:blipFill>
                <pic:spPr>
                  <a:xfrm>
                    <a:off x="0" y="0"/>
                    <a:ext cx="512022" cy="321029"/>
                  </a:xfrm>
                  <a:prstGeom prst="rect">
                    <a:avLst/>
                  </a:prstGeom>
                </pic:spPr>
              </pic:pic>
            </a:graphicData>
          </a:graphic>
        </wp:inline>
      </w:drawing>
    </w:r>
    <w:r w:rsidRPr="006A31AE">
      <w:rPr>
        <w:b/>
        <w:noProof/>
        <w:color w:val="808080"/>
        <w:lang w:eastAsia="en-GB"/>
      </w:rPr>
      <w:drawing>
        <wp:inline distT="0" distB="0" distL="0" distR="0" wp14:anchorId="4BEFC830" wp14:editId="48DFBDB1">
          <wp:extent cx="466725" cy="266700"/>
          <wp:effectExtent l="19050" t="0" r="9525" b="0"/>
          <wp:docPr id="13976"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
                    <a:duotone>
                      <a:schemeClr val="bg2">
                        <a:shade val="45000"/>
                        <a:satMod val="135000"/>
                      </a:schemeClr>
                      <a:prstClr val="white"/>
                    </a:duotone>
                  </a:blip>
                  <a:srcRect/>
                  <a:stretch>
                    <a:fillRect/>
                  </a:stretch>
                </pic:blipFill>
                <pic:spPr bwMode="auto">
                  <a:xfrm>
                    <a:off x="0" y="0"/>
                    <a:ext cx="466027" cy="266301"/>
                  </a:xfrm>
                  <a:prstGeom prst="rect">
                    <a:avLst/>
                  </a:prstGeom>
                  <a:noFill/>
                  <a:ln w="9525">
                    <a:noFill/>
                    <a:miter lim="800000"/>
                    <a:headEnd/>
                    <a:tailEnd/>
                  </a:ln>
                  <a:effectLst/>
                </pic:spPr>
              </pic:pic>
            </a:graphicData>
          </a:graphic>
        </wp:inline>
      </w:drawing>
    </w:r>
    <w:r w:rsidRPr="006A31AE">
      <w:rPr>
        <w:b/>
        <w:noProof/>
        <w:color w:val="808080"/>
        <w:lang w:eastAsia="en-GB"/>
      </w:rPr>
      <w:drawing>
        <wp:inline distT="0" distB="0" distL="0" distR="0" wp14:anchorId="4A7D0A7D" wp14:editId="3A08396C">
          <wp:extent cx="277850" cy="324394"/>
          <wp:effectExtent l="19050" t="0" r="7900" b="0"/>
          <wp:docPr id="13977" name="Picture 17" descr="Ho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png"/>
                  <pic:cNvPicPr/>
                </pic:nvPicPr>
                <pic:blipFill>
                  <a:blip r:embed="rId6"/>
                  <a:stretch>
                    <a:fillRect/>
                  </a:stretch>
                </pic:blipFill>
                <pic:spPr>
                  <a:xfrm>
                    <a:off x="0" y="0"/>
                    <a:ext cx="277850" cy="324394"/>
                  </a:xfrm>
                  <a:prstGeom prst="rect">
                    <a:avLst/>
                  </a:prstGeom>
                </pic:spPr>
              </pic:pic>
            </a:graphicData>
          </a:graphic>
        </wp:inline>
      </w:drawing>
    </w:r>
    <w:r w:rsidRPr="006A31AE">
      <w:rPr>
        <w:b/>
        <w:noProof/>
        <w:color w:val="808080"/>
        <w:lang w:eastAsia="en-GB"/>
      </w:rPr>
      <w:drawing>
        <wp:inline distT="0" distB="0" distL="0" distR="0" wp14:anchorId="688FC02B" wp14:editId="6DCC2CF3">
          <wp:extent cx="390525" cy="379922"/>
          <wp:effectExtent l="19050" t="0" r="9525" b="0"/>
          <wp:docPr id="13978" name="Picture 6" descr="Peo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ople.png"/>
                  <pic:cNvPicPr/>
                </pic:nvPicPr>
                <pic:blipFill>
                  <a:blip r:embed="rId7">
                    <a:duotone>
                      <a:schemeClr val="bg2">
                        <a:shade val="45000"/>
                        <a:satMod val="135000"/>
                      </a:schemeClr>
                      <a:prstClr val="white"/>
                    </a:duotone>
                  </a:blip>
                  <a:stretch>
                    <a:fillRect/>
                  </a:stretch>
                </pic:blipFill>
                <pic:spPr>
                  <a:xfrm>
                    <a:off x="0" y="0"/>
                    <a:ext cx="390419" cy="379819"/>
                  </a:xfrm>
                  <a:prstGeom prst="rect">
                    <a:avLst/>
                  </a:prstGeom>
                </pic:spPr>
              </pic:pic>
            </a:graphicData>
          </a:graphic>
        </wp:inline>
      </w:drawing>
    </w:r>
    <w:r w:rsidRPr="006A31AE">
      <w:rPr>
        <w:b/>
        <w:noProof/>
        <w:color w:val="808080"/>
        <w:lang w:eastAsia="en-GB"/>
      </w:rPr>
      <w:drawing>
        <wp:inline distT="0" distB="0" distL="0" distR="0" wp14:anchorId="4CE565BB" wp14:editId="177C8FBA">
          <wp:extent cx="295275" cy="295275"/>
          <wp:effectExtent l="19050" t="0" r="9525" b="0"/>
          <wp:docPr id="13979" name="Picture 15"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8">
                    <a:duotone>
                      <a:schemeClr val="bg2">
                        <a:shade val="45000"/>
                        <a:satMod val="135000"/>
                      </a:schemeClr>
                      <a:prstClr val="white"/>
                    </a:duotone>
                  </a:blip>
                  <a:stretch>
                    <a:fillRect/>
                  </a:stretch>
                </pic:blipFill>
                <pic:spPr>
                  <a:xfrm>
                    <a:off x="0" y="0"/>
                    <a:ext cx="295251" cy="295251"/>
                  </a:xfrm>
                  <a:prstGeom prst="rect">
                    <a:avLst/>
                  </a:prstGeom>
                </pic:spPr>
              </pic:pic>
            </a:graphicData>
          </a:graphic>
        </wp:inline>
      </w:drawing>
    </w:r>
    <w:r w:rsidRPr="006A31AE">
      <w:rPr>
        <w:b/>
        <w:noProof/>
        <w:color w:val="808080"/>
        <w:lang w:eastAsia="en-GB"/>
      </w:rPr>
      <w:drawing>
        <wp:inline distT="0" distB="0" distL="0" distR="0" wp14:anchorId="20A28F6A" wp14:editId="17649BDE">
          <wp:extent cx="295275" cy="313262"/>
          <wp:effectExtent l="19050" t="0" r="9525" b="0"/>
          <wp:docPr id="13980" name="Picture 5" descr="Child and elder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 and elderly.png"/>
                  <pic:cNvPicPr/>
                </pic:nvPicPr>
                <pic:blipFill>
                  <a:blip r:embed="rId9">
                    <a:duotone>
                      <a:schemeClr val="bg2">
                        <a:shade val="45000"/>
                        <a:satMod val="135000"/>
                      </a:schemeClr>
                      <a:prstClr val="white"/>
                    </a:duotone>
                  </a:blip>
                  <a:stretch>
                    <a:fillRect/>
                  </a:stretch>
                </pic:blipFill>
                <pic:spPr>
                  <a:xfrm>
                    <a:off x="0" y="0"/>
                    <a:ext cx="297362" cy="315476"/>
                  </a:xfrm>
                  <a:prstGeom prst="rect">
                    <a:avLst/>
                  </a:prstGeom>
                </pic:spPr>
              </pic:pic>
            </a:graphicData>
          </a:graphic>
        </wp:inline>
      </w:drawing>
    </w:r>
  </w:p>
  <w:p w:rsidR="00721450" w:rsidRPr="006A31AE" w:rsidRDefault="00721450" w:rsidP="006A31AE">
    <w:pPr>
      <w:pStyle w:val="Header"/>
      <w:tabs>
        <w:tab w:val="clear" w:pos="4513"/>
        <w:tab w:val="clear" w:pos="9026"/>
      </w:tabs>
      <w:rPr>
        <w:b/>
        <w:color w:val="808080"/>
      </w:rPr>
    </w:pPr>
    <w:r w:rsidRPr="006A31AE">
      <w:rPr>
        <w:b/>
        <w:noProof/>
        <w:color w:val="FFFFFF"/>
        <w:lang w:eastAsia="en-GB"/>
      </w:rPr>
      <mc:AlternateContent>
        <mc:Choice Requires="wps">
          <w:drawing>
            <wp:anchor distT="4294967294" distB="4294967294" distL="114300" distR="114300" simplePos="0" relativeHeight="251658752" behindDoc="0" locked="0" layoutInCell="1" allowOverlap="1" wp14:anchorId="09BC5CA2" wp14:editId="1A3A632F">
              <wp:simplePos x="0" y="0"/>
              <wp:positionH relativeFrom="column">
                <wp:posOffset>-914400</wp:posOffset>
              </wp:positionH>
              <wp:positionV relativeFrom="paragraph">
                <wp:posOffset>136987</wp:posOffset>
              </wp:positionV>
              <wp:extent cx="10782300" cy="0"/>
              <wp:effectExtent l="0" t="0" r="19050" b="19050"/>
              <wp:wrapNone/>
              <wp:docPr id="13514"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82300" cy="0"/>
                      </a:xfrm>
                      <a:prstGeom prst="line">
                        <a:avLst/>
                      </a:prstGeom>
                      <a:noFill/>
                      <a:ln w="25400" cap="flat" cmpd="sng" algn="ctr">
                        <a:solidFill>
                          <a:sysClr val="window" lastClr="FFFFFF">
                            <a:lumMod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43B41298" id="Straight Connector 10"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in,10.8pt" to="777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" strokecolor="#7f7f7f" strokeweight="2pt">
              <o:lock v:ext="edit" shapetype="f"/>
            </v:line>
          </w:pict>
        </mc:Fallback>
      </mc:AlternateContent>
    </w:r>
  </w:p>
  <w:p w:rsidR="00721450" w:rsidRPr="006A31AE" w:rsidRDefault="00721450" w:rsidP="006A31AE">
    <w:pPr>
      <w:pStyle w:val="Header"/>
      <w:tabs>
        <w:tab w:val="clear" w:pos="4513"/>
        <w:tab w:val="clear" w:pos="9026"/>
      </w:tabs>
      <w:rPr>
        <w:b/>
        <w:color w:val="808080"/>
      </w:rPr>
    </w:pPr>
  </w:p>
  <w:p w:rsidR="00721450" w:rsidRPr="006A31AE" w:rsidRDefault="00721450" w:rsidP="006A31AE">
    <w:pPr>
      <w:pStyle w:val="Header"/>
      <w:tabs>
        <w:tab w:val="clear" w:pos="4513"/>
        <w:tab w:val="clear" w:pos="9026"/>
      </w:tabs>
      <w:rPr>
        <w:b/>
        <w:color w:val="808080"/>
      </w:rPr>
    </w:pPr>
    <w:r w:rsidRPr="006A31AE">
      <w:rPr>
        <w:b/>
        <w:color w:val="808080"/>
      </w:rPr>
      <w:tab/>
    </w:r>
    <w:r w:rsidRPr="006A31AE">
      <w:rPr>
        <w:b/>
        <w:color w:val="808080"/>
      </w:rPr>
      <w:tab/>
    </w:r>
  </w:p>
  <w:p w:rsidR="00721450" w:rsidRDefault="00721450">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21450" w:rsidRPr="006A31AE" w:rsidRDefault="00721450">
    <w:pPr>
      <w:pStyle w:val="Header"/>
      <w:rPr>
        <w:b/>
        <w:color w:val="808080"/>
      </w:rPr>
    </w:pPr>
    <w:r w:rsidRPr="006A31AE">
      <w:rPr>
        <w:b/>
        <w:noProof/>
        <w:color w:val="FFFFFF"/>
        <w:lang w:eastAsia="en-GB"/>
      </w:rPr>
      <mc:AlternateContent>
        <mc:Choice Requires="wps">
          <w:drawing>
            <wp:anchor distT="4294967294" distB="4294967294" distL="114300" distR="114300" simplePos="0" relativeHeight="251652608" behindDoc="0" locked="0" layoutInCell="1" allowOverlap="1" wp14:anchorId="60D8F50F" wp14:editId="7E3E1E8E">
              <wp:simplePos x="0" y="0"/>
              <wp:positionH relativeFrom="column">
                <wp:posOffset>-914400</wp:posOffset>
              </wp:positionH>
              <wp:positionV relativeFrom="paragraph">
                <wp:posOffset>436244</wp:posOffset>
              </wp:positionV>
              <wp:extent cx="10782300" cy="0"/>
              <wp:effectExtent l="0" t="0" r="19050" b="19050"/>
              <wp:wrapNone/>
              <wp:docPr id="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782300" cy="0"/>
                      </a:xfrm>
                      <a:prstGeom prst="line">
                        <a:avLst/>
                      </a:prstGeom>
                      <a:noFill/>
                      <a:ln w="25400" cap="flat" cmpd="sng" algn="ctr">
                        <a:solidFill>
                          <a:sysClr val="window" lastClr="FFFFFF">
                            <a:lumMod val="50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0ABEFF21" id="Straight Connector 10"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in,34.35pt" to="777pt,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" strokecolor="#7f7f7f" strokeweight="2pt">
              <o:lock v:ext="edit" shapetype="f"/>
            </v:line>
          </w:pict>
        </mc:Fallback>
      </mc:AlternateContent>
    </w:r>
    <w:r w:rsidRPr="006A31AE">
      <w:rPr>
        <w:b/>
        <w:color w:val="808080"/>
      </w:rPr>
      <w:t xml:space="preserve">Borough Profile </w:t>
    </w:r>
    <w:r>
      <w:rPr>
        <w:b/>
        <w:color w:val="808080"/>
      </w:rPr>
      <w:t>- Economy</w:t>
    </w:r>
    <w:r w:rsidRPr="006A31AE">
      <w:rPr>
        <w:b/>
        <w:color w:val="808080"/>
      </w:rPr>
      <w:tab/>
      <w:t xml:space="preserve">                                                            </w:t>
    </w:r>
    <w:r w:rsidRPr="006A31AE">
      <w:rPr>
        <w:b/>
        <w:color w:val="808080"/>
      </w:rPr>
      <w:tab/>
    </w:r>
    <w:r w:rsidRPr="006A31AE">
      <w:rPr>
        <w:b/>
        <w:noProof/>
        <w:color w:val="808080"/>
        <w:lang w:eastAsia="en-GB"/>
      </w:rPr>
      <w:drawing>
        <wp:inline distT="0" distB="0" distL="0" distR="0" wp14:anchorId="3027332F" wp14:editId="6AE366D1">
          <wp:extent cx="390525" cy="379922"/>
          <wp:effectExtent l="19050" t="0" r="9525" b="0"/>
          <wp:docPr id="13899" name="Picture 6" descr="Peo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ople.png"/>
                  <pic:cNvPicPr/>
                </pic:nvPicPr>
                <pic:blipFill>
                  <a:blip r:embed="rId1">
                    <a:duotone>
                      <a:schemeClr val="bg2">
                        <a:shade val="45000"/>
                        <a:satMod val="135000"/>
                      </a:schemeClr>
                      <a:prstClr val="white"/>
                    </a:duotone>
                  </a:blip>
                  <a:stretch>
                    <a:fillRect/>
                  </a:stretch>
                </pic:blipFill>
                <pic:spPr>
                  <a:xfrm>
                    <a:off x="0" y="0"/>
                    <a:ext cx="390419" cy="379819"/>
                  </a:xfrm>
                  <a:prstGeom prst="rect">
                    <a:avLst/>
                  </a:prstGeom>
                </pic:spPr>
              </pic:pic>
            </a:graphicData>
          </a:graphic>
        </wp:inline>
      </w:drawing>
    </w:r>
    <w:r w:rsidRPr="006A31AE">
      <w:rPr>
        <w:b/>
        <w:noProof/>
        <w:color w:val="808080"/>
        <w:lang w:eastAsia="en-GB"/>
      </w:rPr>
      <w:drawing>
        <wp:inline distT="0" distB="0" distL="0" distR="0" wp14:anchorId="30EC4A7A" wp14:editId="73F1E92F">
          <wp:extent cx="352513" cy="372543"/>
          <wp:effectExtent l="19050" t="0" r="9437" b="0"/>
          <wp:docPr id="13900" name="Picture 3" descr="Borough sma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rough small.png"/>
                  <pic:cNvPicPr/>
                </pic:nvPicPr>
                <pic:blipFill>
                  <a:blip r:embed="rId2">
                    <a:duotone>
                      <a:schemeClr val="bg2">
                        <a:shade val="45000"/>
                        <a:satMod val="135000"/>
                      </a:schemeClr>
                      <a:prstClr val="white"/>
                    </a:duotone>
                  </a:blip>
                  <a:stretch>
                    <a:fillRect/>
                  </a:stretch>
                </pic:blipFill>
                <pic:spPr>
                  <a:xfrm>
                    <a:off x="0" y="0"/>
                    <a:ext cx="352513" cy="372543"/>
                  </a:xfrm>
                  <a:prstGeom prst="rect">
                    <a:avLst/>
                  </a:prstGeom>
                </pic:spPr>
              </pic:pic>
            </a:graphicData>
          </a:graphic>
        </wp:inline>
      </w:drawing>
    </w:r>
    <w:r w:rsidRPr="006A31AE">
      <w:rPr>
        <w:b/>
        <w:noProof/>
        <w:color w:val="808080"/>
        <w:lang w:eastAsia="en-GB"/>
      </w:rPr>
      <w:drawing>
        <wp:inline distT="0" distB="0" distL="0" distR="0" wp14:anchorId="228B9920" wp14:editId="607E2D93">
          <wp:extent cx="252771" cy="313077"/>
          <wp:effectExtent l="19050" t="0" r="0" b="0"/>
          <wp:docPr id="13901" name="Picture 18" descr="coi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ins.png"/>
                  <pic:cNvPicPr/>
                </pic:nvPicPr>
                <pic:blipFill>
                  <a:blip r:embed="rId3">
                    <a:duotone>
                      <a:schemeClr val="bg2">
                        <a:shade val="45000"/>
                        <a:satMod val="135000"/>
                      </a:schemeClr>
                      <a:prstClr val="white"/>
                    </a:duotone>
                  </a:blip>
                  <a:stretch>
                    <a:fillRect/>
                  </a:stretch>
                </pic:blipFill>
                <pic:spPr>
                  <a:xfrm>
                    <a:off x="0" y="0"/>
                    <a:ext cx="252771" cy="313077"/>
                  </a:xfrm>
                  <a:prstGeom prst="rect">
                    <a:avLst/>
                  </a:prstGeom>
                </pic:spPr>
              </pic:pic>
            </a:graphicData>
          </a:graphic>
        </wp:inline>
      </w:drawing>
    </w:r>
    <w:r w:rsidRPr="006A31AE">
      <w:rPr>
        <w:b/>
        <w:noProof/>
        <w:color w:val="808080"/>
        <w:lang w:eastAsia="en-GB"/>
      </w:rPr>
      <w:drawing>
        <wp:inline distT="0" distB="0" distL="0" distR="0" wp14:anchorId="63A74F25" wp14:editId="24942A1E">
          <wp:extent cx="347420" cy="326258"/>
          <wp:effectExtent l="19050" t="0" r="0" b="0"/>
          <wp:docPr id="13902" name="Picture 0" descr="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ee.png"/>
                  <pic:cNvPicPr/>
                </pic:nvPicPr>
                <pic:blipFill>
                  <a:blip r:embed="rId4">
                    <a:duotone>
                      <a:schemeClr val="bg2">
                        <a:shade val="45000"/>
                        <a:satMod val="135000"/>
                      </a:schemeClr>
                      <a:prstClr val="white"/>
                    </a:duotone>
                  </a:blip>
                  <a:stretch>
                    <a:fillRect/>
                  </a:stretch>
                </pic:blipFill>
                <pic:spPr>
                  <a:xfrm>
                    <a:off x="0" y="0"/>
                    <a:ext cx="347420" cy="326258"/>
                  </a:xfrm>
                  <a:prstGeom prst="rect">
                    <a:avLst/>
                  </a:prstGeom>
                </pic:spPr>
              </pic:pic>
            </a:graphicData>
          </a:graphic>
        </wp:inline>
      </w:drawing>
    </w:r>
    <w:r w:rsidRPr="006A31AE">
      <w:rPr>
        <w:b/>
        <w:noProof/>
        <w:color w:val="808080"/>
        <w:lang w:eastAsia="en-GB"/>
      </w:rPr>
      <w:drawing>
        <wp:inline distT="0" distB="0" distL="0" distR="0" wp14:anchorId="6320750C" wp14:editId="6F373761">
          <wp:extent cx="277850" cy="324394"/>
          <wp:effectExtent l="19050" t="0" r="7900" b="0"/>
          <wp:docPr id="13903" name="Picture 17" descr="Ho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use.png"/>
                  <pic:cNvPicPr/>
                </pic:nvPicPr>
                <pic:blipFill>
                  <a:blip r:embed="rId5">
                    <a:duotone>
                      <a:schemeClr val="bg2">
                        <a:shade val="45000"/>
                        <a:satMod val="135000"/>
                      </a:schemeClr>
                      <a:prstClr val="white"/>
                    </a:duotone>
                  </a:blip>
                  <a:stretch>
                    <a:fillRect/>
                  </a:stretch>
                </pic:blipFill>
                <pic:spPr>
                  <a:xfrm>
                    <a:off x="0" y="0"/>
                    <a:ext cx="277850" cy="324394"/>
                  </a:xfrm>
                  <a:prstGeom prst="rect">
                    <a:avLst/>
                  </a:prstGeom>
                </pic:spPr>
              </pic:pic>
            </a:graphicData>
          </a:graphic>
        </wp:inline>
      </w:drawing>
    </w:r>
    <w:r w:rsidRPr="006A31AE">
      <w:rPr>
        <w:b/>
        <w:noProof/>
        <w:color w:val="808080"/>
        <w:lang w:eastAsia="en-GB"/>
      </w:rPr>
      <w:drawing>
        <wp:inline distT="0" distB="0" distL="0" distR="0" wp14:anchorId="34548544" wp14:editId="29895374">
          <wp:extent cx="512021" cy="321029"/>
          <wp:effectExtent l="19050" t="0" r="2329" b="0"/>
          <wp:docPr id="13904" name="Picture 2" descr="Gradu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duation.png"/>
                  <pic:cNvPicPr/>
                </pic:nvPicPr>
                <pic:blipFill>
                  <a:blip r:embed="rId6">
                    <a:duotone>
                      <a:schemeClr val="bg2">
                        <a:shade val="45000"/>
                        <a:satMod val="135000"/>
                      </a:schemeClr>
                      <a:prstClr val="white"/>
                    </a:duotone>
                  </a:blip>
                  <a:stretch>
                    <a:fillRect/>
                  </a:stretch>
                </pic:blipFill>
                <pic:spPr>
                  <a:xfrm>
                    <a:off x="0" y="0"/>
                    <a:ext cx="512021" cy="321029"/>
                  </a:xfrm>
                  <a:prstGeom prst="rect">
                    <a:avLst/>
                  </a:prstGeom>
                </pic:spPr>
              </pic:pic>
            </a:graphicData>
          </a:graphic>
        </wp:inline>
      </w:drawing>
    </w:r>
    <w:r w:rsidRPr="006A31AE">
      <w:rPr>
        <w:b/>
        <w:noProof/>
        <w:color w:val="808080"/>
        <w:lang w:eastAsia="en-GB"/>
      </w:rPr>
      <w:drawing>
        <wp:inline distT="0" distB="0" distL="0" distR="0" wp14:anchorId="14534323" wp14:editId="59435FD1">
          <wp:extent cx="466725" cy="266700"/>
          <wp:effectExtent l="19050" t="0" r="9525" b="0"/>
          <wp:docPr id="13905" name="Picture 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
                    <a:duotone>
                      <a:schemeClr val="bg2">
                        <a:shade val="45000"/>
                        <a:satMod val="135000"/>
                      </a:schemeClr>
                      <a:prstClr val="white"/>
                    </a:duotone>
                  </a:blip>
                  <a:srcRect/>
                  <a:stretch>
                    <a:fillRect/>
                  </a:stretch>
                </pic:blipFill>
                <pic:spPr bwMode="auto">
                  <a:xfrm>
                    <a:off x="0" y="0"/>
                    <a:ext cx="466027" cy="266301"/>
                  </a:xfrm>
                  <a:prstGeom prst="rect">
                    <a:avLst/>
                  </a:prstGeom>
                  <a:noFill/>
                  <a:ln w="9525">
                    <a:noFill/>
                    <a:miter lim="800000"/>
                    <a:headEnd/>
                    <a:tailEnd/>
                  </a:ln>
                  <a:effectLst/>
                </pic:spPr>
              </pic:pic>
            </a:graphicData>
          </a:graphic>
        </wp:inline>
      </w:drawing>
    </w:r>
    <w:r w:rsidRPr="006A31AE">
      <w:rPr>
        <w:b/>
        <w:noProof/>
        <w:color w:val="808080"/>
        <w:lang w:eastAsia="en-GB"/>
      </w:rPr>
      <w:drawing>
        <wp:inline distT="0" distB="0" distL="0" distR="0" wp14:anchorId="08BFC76B" wp14:editId="40521C54">
          <wp:extent cx="295275" cy="295275"/>
          <wp:effectExtent l="19050" t="0" r="9525" b="0"/>
          <wp:docPr id="13906" name="Picture 15" descr="Cro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oss.png"/>
                  <pic:cNvPicPr/>
                </pic:nvPicPr>
                <pic:blipFill>
                  <a:blip r:embed="rId8">
                    <a:duotone>
                      <a:schemeClr val="bg2">
                        <a:shade val="45000"/>
                        <a:satMod val="135000"/>
                      </a:schemeClr>
                      <a:prstClr val="white"/>
                    </a:duotone>
                  </a:blip>
                  <a:stretch>
                    <a:fillRect/>
                  </a:stretch>
                </pic:blipFill>
                <pic:spPr>
                  <a:xfrm>
                    <a:off x="0" y="0"/>
                    <a:ext cx="295251" cy="295251"/>
                  </a:xfrm>
                  <a:prstGeom prst="rect">
                    <a:avLst/>
                  </a:prstGeom>
                </pic:spPr>
              </pic:pic>
            </a:graphicData>
          </a:graphic>
        </wp:inline>
      </w:drawing>
    </w:r>
    <w:r w:rsidRPr="006A31AE">
      <w:rPr>
        <w:b/>
        <w:noProof/>
        <w:color w:val="808080"/>
        <w:lang w:eastAsia="en-GB"/>
      </w:rPr>
      <w:drawing>
        <wp:inline distT="0" distB="0" distL="0" distR="0" wp14:anchorId="29158ECB" wp14:editId="3B13D824">
          <wp:extent cx="297362" cy="315475"/>
          <wp:effectExtent l="19050" t="0" r="7438" b="0"/>
          <wp:docPr id="13907" name="Picture 5" descr="Child and elder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ld and elderly.png"/>
                  <pic:cNvPicPr/>
                </pic:nvPicPr>
                <pic:blipFill>
                  <a:blip r:embed="rId9"/>
                  <a:stretch>
                    <a:fillRect/>
                  </a:stretch>
                </pic:blipFill>
                <pic:spPr>
                  <a:xfrm>
                    <a:off x="0" y="0"/>
                    <a:ext cx="297362" cy="31547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w14:anchorId="05342685"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9" type="#_x0000_t75" style="width:144.45pt;height:127.65pt" o:bullet="t">
        <v:imagedata r:id="rId1" o:title="Warning 2"/>
      </v:shape>
    </w:pict>
  </w:numPicBullet>
  <w:abstractNum w:abstractNumId="0" w15:restartNumberingAfterBreak="0">
    <w:nsid w:val="15272829"/>
    <w:multiLevelType w:val="hybridMultilevel"/>
    <w:tmpl w:val="D0D89D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00E344B"/>
    <w:multiLevelType w:val="hybridMultilevel"/>
    <w:tmpl w:val="C5CE0876"/>
    <w:lvl w:ilvl="0" w:tplc="4FF4C3DC">
      <w:start w:val="1"/>
      <w:numFmt w:val="bullet"/>
      <w:lvlText w:val=""/>
      <w:lvlJc w:val="left"/>
      <w:pPr>
        <w:ind w:left="720" w:hanging="360"/>
      </w:pPr>
      <w:rPr>
        <w:rFonts w:ascii="Wingdings" w:hAnsi="Wingdings" w:hint="default"/>
        <w:color w:val="70147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7544860"/>
    <w:multiLevelType w:val="hybridMultilevel"/>
    <w:tmpl w:val="80D04638"/>
    <w:lvl w:ilvl="0" w:tplc="4836D3AE">
      <w:start w:val="1"/>
      <w:numFmt w:val="bullet"/>
      <w:lvlText w:val=""/>
      <w:lvlPicBulletId w:val="0"/>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9A2141F"/>
    <w:multiLevelType w:val="hybridMultilevel"/>
    <w:tmpl w:val="59A481EA"/>
    <w:lvl w:ilvl="0" w:tplc="08090001">
      <w:start w:val="1"/>
      <w:numFmt w:val="bullet"/>
      <w:lvlText w:val=""/>
      <w:lvlJc w:val="left"/>
      <w:pPr>
        <w:ind w:left="720" w:hanging="360"/>
      </w:pPr>
      <w:rPr>
        <w:rFonts w:ascii="Symbol" w:hAnsi="Symbol" w:hint="default"/>
        <w:color w:val="70147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BCA19CC"/>
    <w:multiLevelType w:val="hybridMultilevel"/>
    <w:tmpl w:val="FC000F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 w15:restartNumberingAfterBreak="0">
    <w:nsid w:val="74663584"/>
    <w:multiLevelType w:val="hybridMultilevel"/>
    <w:tmpl w:val="704EC7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7A776FB3"/>
    <w:multiLevelType w:val="hybridMultilevel"/>
    <w:tmpl w:val="D4D210DA"/>
    <w:lvl w:ilvl="0" w:tplc="AB64B96C">
      <w:start w:val="1"/>
      <w:numFmt w:val="bullet"/>
      <w:lvlText w:val=""/>
      <w:lvlJc w:val="left"/>
      <w:pPr>
        <w:ind w:left="720" w:hanging="360"/>
      </w:pPr>
      <w:rPr>
        <w:rFonts w:ascii="Wingdings" w:hAnsi="Wingdings" w:hint="default"/>
        <w:color w:val="70147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 w:numId="4">
    <w:abstractNumId w:val="6"/>
  </w:num>
  <w:num w:numId="5">
    <w:abstractNumId w:val="3"/>
  </w:num>
  <w:num w:numId="6">
    <w:abstractNumId w:val="5"/>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A31AE"/>
    <w:rsid w:val="00002606"/>
    <w:rsid w:val="00014DEF"/>
    <w:rsid w:val="00015CB6"/>
    <w:rsid w:val="00017900"/>
    <w:rsid w:val="00020E66"/>
    <w:rsid w:val="00033A16"/>
    <w:rsid w:val="000404ED"/>
    <w:rsid w:val="000448F1"/>
    <w:rsid w:val="00045B40"/>
    <w:rsid w:val="000505A0"/>
    <w:rsid w:val="0005085A"/>
    <w:rsid w:val="00051F32"/>
    <w:rsid w:val="00061F50"/>
    <w:rsid w:val="0006301F"/>
    <w:rsid w:val="000643E8"/>
    <w:rsid w:val="0006531D"/>
    <w:rsid w:val="0006617C"/>
    <w:rsid w:val="00077728"/>
    <w:rsid w:val="00083C94"/>
    <w:rsid w:val="00084131"/>
    <w:rsid w:val="00090B0B"/>
    <w:rsid w:val="000912D6"/>
    <w:rsid w:val="0009135D"/>
    <w:rsid w:val="00095A6E"/>
    <w:rsid w:val="0009782C"/>
    <w:rsid w:val="000C76F5"/>
    <w:rsid w:val="000D2B12"/>
    <w:rsid w:val="000D39B2"/>
    <w:rsid w:val="000D4093"/>
    <w:rsid w:val="000D5C6C"/>
    <w:rsid w:val="000E1C73"/>
    <w:rsid w:val="000F4ED4"/>
    <w:rsid w:val="000F6A4D"/>
    <w:rsid w:val="0010411B"/>
    <w:rsid w:val="00107392"/>
    <w:rsid w:val="00113551"/>
    <w:rsid w:val="00115673"/>
    <w:rsid w:val="00117962"/>
    <w:rsid w:val="001248CC"/>
    <w:rsid w:val="00130A38"/>
    <w:rsid w:val="001356B1"/>
    <w:rsid w:val="00142100"/>
    <w:rsid w:val="001448A5"/>
    <w:rsid w:val="0014796A"/>
    <w:rsid w:val="00150068"/>
    <w:rsid w:val="001507FC"/>
    <w:rsid w:val="00154993"/>
    <w:rsid w:val="00161FE0"/>
    <w:rsid w:val="00162515"/>
    <w:rsid w:val="00162F88"/>
    <w:rsid w:val="00166D07"/>
    <w:rsid w:val="00176B19"/>
    <w:rsid w:val="00182C0F"/>
    <w:rsid w:val="00190165"/>
    <w:rsid w:val="0019496D"/>
    <w:rsid w:val="0019512D"/>
    <w:rsid w:val="001A69E1"/>
    <w:rsid w:val="001A6D7B"/>
    <w:rsid w:val="001B4089"/>
    <w:rsid w:val="001C26E7"/>
    <w:rsid w:val="001C2ECD"/>
    <w:rsid w:val="001D2DEC"/>
    <w:rsid w:val="001E096D"/>
    <w:rsid w:val="001E290A"/>
    <w:rsid w:val="001E64AC"/>
    <w:rsid w:val="001F5854"/>
    <w:rsid w:val="00207388"/>
    <w:rsid w:val="0021220A"/>
    <w:rsid w:val="00220CDA"/>
    <w:rsid w:val="002235F2"/>
    <w:rsid w:val="00236C16"/>
    <w:rsid w:val="002372F6"/>
    <w:rsid w:val="00237FC3"/>
    <w:rsid w:val="0025133E"/>
    <w:rsid w:val="00254D2E"/>
    <w:rsid w:val="00257275"/>
    <w:rsid w:val="0025790D"/>
    <w:rsid w:val="002648E0"/>
    <w:rsid w:val="00264977"/>
    <w:rsid w:val="00264CCC"/>
    <w:rsid w:val="0026664B"/>
    <w:rsid w:val="00267CB0"/>
    <w:rsid w:val="00272B9F"/>
    <w:rsid w:val="00276C5A"/>
    <w:rsid w:val="00276C5F"/>
    <w:rsid w:val="00277CF4"/>
    <w:rsid w:val="0029503F"/>
    <w:rsid w:val="002A224E"/>
    <w:rsid w:val="002B0991"/>
    <w:rsid w:val="002B2612"/>
    <w:rsid w:val="002B61E6"/>
    <w:rsid w:val="002C57F9"/>
    <w:rsid w:val="002C7ACD"/>
    <w:rsid w:val="002D5DE0"/>
    <w:rsid w:val="002E5B83"/>
    <w:rsid w:val="002E7203"/>
    <w:rsid w:val="002F173F"/>
    <w:rsid w:val="0030575E"/>
    <w:rsid w:val="00317984"/>
    <w:rsid w:val="003227AA"/>
    <w:rsid w:val="003258F6"/>
    <w:rsid w:val="00333D16"/>
    <w:rsid w:val="00335B9E"/>
    <w:rsid w:val="003371E1"/>
    <w:rsid w:val="0033795D"/>
    <w:rsid w:val="00341837"/>
    <w:rsid w:val="00344BD5"/>
    <w:rsid w:val="0034532E"/>
    <w:rsid w:val="00347B21"/>
    <w:rsid w:val="00354F77"/>
    <w:rsid w:val="0036180E"/>
    <w:rsid w:val="00373461"/>
    <w:rsid w:val="00375A1D"/>
    <w:rsid w:val="0037758F"/>
    <w:rsid w:val="00385C64"/>
    <w:rsid w:val="00391D2E"/>
    <w:rsid w:val="003A0EA8"/>
    <w:rsid w:val="003B42FD"/>
    <w:rsid w:val="003B6A23"/>
    <w:rsid w:val="003C6CF3"/>
    <w:rsid w:val="003D391D"/>
    <w:rsid w:val="003D7747"/>
    <w:rsid w:val="003D7AA6"/>
    <w:rsid w:val="003E205E"/>
    <w:rsid w:val="003F4723"/>
    <w:rsid w:val="003F4FF5"/>
    <w:rsid w:val="0040525F"/>
    <w:rsid w:val="0042008C"/>
    <w:rsid w:val="004206CE"/>
    <w:rsid w:val="004213D9"/>
    <w:rsid w:val="00425EDE"/>
    <w:rsid w:val="00426FD8"/>
    <w:rsid w:val="004327FC"/>
    <w:rsid w:val="00434FAF"/>
    <w:rsid w:val="00435235"/>
    <w:rsid w:val="00440B59"/>
    <w:rsid w:val="004439DD"/>
    <w:rsid w:val="00471263"/>
    <w:rsid w:val="004A1DE3"/>
    <w:rsid w:val="004A1FFA"/>
    <w:rsid w:val="004B1203"/>
    <w:rsid w:val="004B272D"/>
    <w:rsid w:val="004B5398"/>
    <w:rsid w:val="004C2686"/>
    <w:rsid w:val="004D2E88"/>
    <w:rsid w:val="004E0DE3"/>
    <w:rsid w:val="004E590B"/>
    <w:rsid w:val="004F5E78"/>
    <w:rsid w:val="00505CBE"/>
    <w:rsid w:val="00506F6C"/>
    <w:rsid w:val="00521081"/>
    <w:rsid w:val="00521BC5"/>
    <w:rsid w:val="00535793"/>
    <w:rsid w:val="00540DCD"/>
    <w:rsid w:val="0055036E"/>
    <w:rsid w:val="00556EB6"/>
    <w:rsid w:val="0057529A"/>
    <w:rsid w:val="00576E19"/>
    <w:rsid w:val="005778D6"/>
    <w:rsid w:val="00592A0E"/>
    <w:rsid w:val="00596A1A"/>
    <w:rsid w:val="005976FA"/>
    <w:rsid w:val="005B239F"/>
    <w:rsid w:val="005B45B4"/>
    <w:rsid w:val="005C17C7"/>
    <w:rsid w:val="005C1ACE"/>
    <w:rsid w:val="005D0B91"/>
    <w:rsid w:val="005D648A"/>
    <w:rsid w:val="005F09B9"/>
    <w:rsid w:val="00600C44"/>
    <w:rsid w:val="0060420F"/>
    <w:rsid w:val="006145C6"/>
    <w:rsid w:val="00622074"/>
    <w:rsid w:val="00630FF7"/>
    <w:rsid w:val="00646471"/>
    <w:rsid w:val="0065455A"/>
    <w:rsid w:val="00654D63"/>
    <w:rsid w:val="006578D6"/>
    <w:rsid w:val="0066029F"/>
    <w:rsid w:val="00666438"/>
    <w:rsid w:val="006705A8"/>
    <w:rsid w:val="00670E7E"/>
    <w:rsid w:val="00671076"/>
    <w:rsid w:val="006771E1"/>
    <w:rsid w:val="00681D91"/>
    <w:rsid w:val="00682023"/>
    <w:rsid w:val="006823AA"/>
    <w:rsid w:val="00683996"/>
    <w:rsid w:val="00685B11"/>
    <w:rsid w:val="00687218"/>
    <w:rsid w:val="006927C0"/>
    <w:rsid w:val="006941EA"/>
    <w:rsid w:val="0069448E"/>
    <w:rsid w:val="00696B5C"/>
    <w:rsid w:val="006A31AE"/>
    <w:rsid w:val="006A50E0"/>
    <w:rsid w:val="006B27A1"/>
    <w:rsid w:val="006D6A2C"/>
    <w:rsid w:val="006E7BA7"/>
    <w:rsid w:val="006F0CC1"/>
    <w:rsid w:val="006F22EA"/>
    <w:rsid w:val="007012B3"/>
    <w:rsid w:val="00702DF5"/>
    <w:rsid w:val="00706660"/>
    <w:rsid w:val="00715A85"/>
    <w:rsid w:val="0072108B"/>
    <w:rsid w:val="00721450"/>
    <w:rsid w:val="007310D1"/>
    <w:rsid w:val="00733B86"/>
    <w:rsid w:val="00743310"/>
    <w:rsid w:val="00752FC2"/>
    <w:rsid w:val="00757AED"/>
    <w:rsid w:val="0076780F"/>
    <w:rsid w:val="00770B41"/>
    <w:rsid w:val="00772217"/>
    <w:rsid w:val="00784E40"/>
    <w:rsid w:val="00791BD9"/>
    <w:rsid w:val="00792F13"/>
    <w:rsid w:val="007956FC"/>
    <w:rsid w:val="007B0710"/>
    <w:rsid w:val="007B2CA0"/>
    <w:rsid w:val="007B44D1"/>
    <w:rsid w:val="007B5AAA"/>
    <w:rsid w:val="007C0928"/>
    <w:rsid w:val="007C3D24"/>
    <w:rsid w:val="007C5994"/>
    <w:rsid w:val="007C7465"/>
    <w:rsid w:val="007D065D"/>
    <w:rsid w:val="007D20C2"/>
    <w:rsid w:val="007D5923"/>
    <w:rsid w:val="007D76D6"/>
    <w:rsid w:val="007F230E"/>
    <w:rsid w:val="007F3DF6"/>
    <w:rsid w:val="00802D4E"/>
    <w:rsid w:val="0080797E"/>
    <w:rsid w:val="008144BF"/>
    <w:rsid w:val="00820A89"/>
    <w:rsid w:val="008324AC"/>
    <w:rsid w:val="0086380A"/>
    <w:rsid w:val="00870F3A"/>
    <w:rsid w:val="00886B8B"/>
    <w:rsid w:val="00895E3A"/>
    <w:rsid w:val="008979F3"/>
    <w:rsid w:val="008A1DDD"/>
    <w:rsid w:val="008A460B"/>
    <w:rsid w:val="008A67BE"/>
    <w:rsid w:val="008B6DE3"/>
    <w:rsid w:val="008C05A1"/>
    <w:rsid w:val="008C3D5D"/>
    <w:rsid w:val="008D1CBF"/>
    <w:rsid w:val="008D3CFD"/>
    <w:rsid w:val="008D4CF5"/>
    <w:rsid w:val="008E1729"/>
    <w:rsid w:val="008F19A7"/>
    <w:rsid w:val="008F22A2"/>
    <w:rsid w:val="009049B1"/>
    <w:rsid w:val="00925240"/>
    <w:rsid w:val="00927ACD"/>
    <w:rsid w:val="00932385"/>
    <w:rsid w:val="00936A29"/>
    <w:rsid w:val="009447F3"/>
    <w:rsid w:val="009452E9"/>
    <w:rsid w:val="00947CEB"/>
    <w:rsid w:val="00951EE7"/>
    <w:rsid w:val="0095371F"/>
    <w:rsid w:val="00954C26"/>
    <w:rsid w:val="009555D3"/>
    <w:rsid w:val="009578CF"/>
    <w:rsid w:val="00972429"/>
    <w:rsid w:val="00977BE6"/>
    <w:rsid w:val="0098309E"/>
    <w:rsid w:val="00990CA5"/>
    <w:rsid w:val="009935D9"/>
    <w:rsid w:val="009949E0"/>
    <w:rsid w:val="009A2665"/>
    <w:rsid w:val="009A3CBD"/>
    <w:rsid w:val="009A4DDE"/>
    <w:rsid w:val="009A6129"/>
    <w:rsid w:val="009A7ED6"/>
    <w:rsid w:val="009C11F5"/>
    <w:rsid w:val="009D5046"/>
    <w:rsid w:val="009D7550"/>
    <w:rsid w:val="009F3260"/>
    <w:rsid w:val="009F621A"/>
    <w:rsid w:val="00A069A7"/>
    <w:rsid w:val="00A113AF"/>
    <w:rsid w:val="00A12B47"/>
    <w:rsid w:val="00A15953"/>
    <w:rsid w:val="00A23138"/>
    <w:rsid w:val="00A27BED"/>
    <w:rsid w:val="00A32784"/>
    <w:rsid w:val="00A44C0A"/>
    <w:rsid w:val="00A45A7E"/>
    <w:rsid w:val="00A461E6"/>
    <w:rsid w:val="00A569F6"/>
    <w:rsid w:val="00A57B96"/>
    <w:rsid w:val="00A64384"/>
    <w:rsid w:val="00A729D0"/>
    <w:rsid w:val="00A73BD4"/>
    <w:rsid w:val="00A90AAB"/>
    <w:rsid w:val="00AB0745"/>
    <w:rsid w:val="00AB5428"/>
    <w:rsid w:val="00AB7E8B"/>
    <w:rsid w:val="00AC42BC"/>
    <w:rsid w:val="00AD38B1"/>
    <w:rsid w:val="00AE1367"/>
    <w:rsid w:val="00AE2A25"/>
    <w:rsid w:val="00AE4226"/>
    <w:rsid w:val="00B407FB"/>
    <w:rsid w:val="00B40A79"/>
    <w:rsid w:val="00B50120"/>
    <w:rsid w:val="00B6100D"/>
    <w:rsid w:val="00B6540D"/>
    <w:rsid w:val="00B707CB"/>
    <w:rsid w:val="00B73C73"/>
    <w:rsid w:val="00B82B10"/>
    <w:rsid w:val="00B943F3"/>
    <w:rsid w:val="00BA32D6"/>
    <w:rsid w:val="00BB40EC"/>
    <w:rsid w:val="00BB4805"/>
    <w:rsid w:val="00BC319F"/>
    <w:rsid w:val="00BC67B0"/>
    <w:rsid w:val="00BD153B"/>
    <w:rsid w:val="00BD242F"/>
    <w:rsid w:val="00BE49E5"/>
    <w:rsid w:val="00BE4B74"/>
    <w:rsid w:val="00BE7701"/>
    <w:rsid w:val="00BE7C52"/>
    <w:rsid w:val="00BF309B"/>
    <w:rsid w:val="00BF5C95"/>
    <w:rsid w:val="00C01780"/>
    <w:rsid w:val="00C044A5"/>
    <w:rsid w:val="00C17841"/>
    <w:rsid w:val="00C30D5A"/>
    <w:rsid w:val="00C34086"/>
    <w:rsid w:val="00C369DA"/>
    <w:rsid w:val="00C412C5"/>
    <w:rsid w:val="00C45B76"/>
    <w:rsid w:val="00C55266"/>
    <w:rsid w:val="00C63BE4"/>
    <w:rsid w:val="00C825CD"/>
    <w:rsid w:val="00CA6068"/>
    <w:rsid w:val="00CB3415"/>
    <w:rsid w:val="00CB4275"/>
    <w:rsid w:val="00CB6E0A"/>
    <w:rsid w:val="00CE1A64"/>
    <w:rsid w:val="00CE6B62"/>
    <w:rsid w:val="00CF1193"/>
    <w:rsid w:val="00CF313B"/>
    <w:rsid w:val="00CF5FC5"/>
    <w:rsid w:val="00CF633E"/>
    <w:rsid w:val="00CF6E02"/>
    <w:rsid w:val="00D04EF7"/>
    <w:rsid w:val="00D1612C"/>
    <w:rsid w:val="00D16AC6"/>
    <w:rsid w:val="00D20927"/>
    <w:rsid w:val="00D21798"/>
    <w:rsid w:val="00D30CD5"/>
    <w:rsid w:val="00D319D8"/>
    <w:rsid w:val="00D323BC"/>
    <w:rsid w:val="00D3791A"/>
    <w:rsid w:val="00D43C5F"/>
    <w:rsid w:val="00D44929"/>
    <w:rsid w:val="00D56C6D"/>
    <w:rsid w:val="00D64239"/>
    <w:rsid w:val="00D648CA"/>
    <w:rsid w:val="00D87CEE"/>
    <w:rsid w:val="00D96DDF"/>
    <w:rsid w:val="00DB4ED8"/>
    <w:rsid w:val="00DD26FF"/>
    <w:rsid w:val="00DD3CE3"/>
    <w:rsid w:val="00DE0BA4"/>
    <w:rsid w:val="00DE118A"/>
    <w:rsid w:val="00E0174B"/>
    <w:rsid w:val="00E0459A"/>
    <w:rsid w:val="00E067B5"/>
    <w:rsid w:val="00E10104"/>
    <w:rsid w:val="00E1567D"/>
    <w:rsid w:val="00E159F6"/>
    <w:rsid w:val="00E169F9"/>
    <w:rsid w:val="00E17F0A"/>
    <w:rsid w:val="00E238E9"/>
    <w:rsid w:val="00E32102"/>
    <w:rsid w:val="00E32B6A"/>
    <w:rsid w:val="00E35277"/>
    <w:rsid w:val="00E40725"/>
    <w:rsid w:val="00E43D8E"/>
    <w:rsid w:val="00E52DAE"/>
    <w:rsid w:val="00E6008C"/>
    <w:rsid w:val="00E60D7C"/>
    <w:rsid w:val="00E649C5"/>
    <w:rsid w:val="00E71517"/>
    <w:rsid w:val="00E7492C"/>
    <w:rsid w:val="00E82635"/>
    <w:rsid w:val="00E8384D"/>
    <w:rsid w:val="00E83A40"/>
    <w:rsid w:val="00E874F1"/>
    <w:rsid w:val="00EA365D"/>
    <w:rsid w:val="00EB46F3"/>
    <w:rsid w:val="00EB534D"/>
    <w:rsid w:val="00EC002A"/>
    <w:rsid w:val="00EC06EE"/>
    <w:rsid w:val="00EC68F1"/>
    <w:rsid w:val="00ED07F6"/>
    <w:rsid w:val="00ED0B42"/>
    <w:rsid w:val="00ED1257"/>
    <w:rsid w:val="00ED3040"/>
    <w:rsid w:val="00EE0752"/>
    <w:rsid w:val="00EE63C7"/>
    <w:rsid w:val="00EF73C1"/>
    <w:rsid w:val="00EF7954"/>
    <w:rsid w:val="00F06AB9"/>
    <w:rsid w:val="00F21620"/>
    <w:rsid w:val="00F273C3"/>
    <w:rsid w:val="00F330AD"/>
    <w:rsid w:val="00F50933"/>
    <w:rsid w:val="00F56F06"/>
    <w:rsid w:val="00F72E64"/>
    <w:rsid w:val="00F736C4"/>
    <w:rsid w:val="00F756CA"/>
    <w:rsid w:val="00F81669"/>
    <w:rsid w:val="00F8227B"/>
    <w:rsid w:val="00F82D2F"/>
    <w:rsid w:val="00F86555"/>
    <w:rsid w:val="00F95BE3"/>
    <w:rsid w:val="00F97427"/>
    <w:rsid w:val="00FA0A7A"/>
    <w:rsid w:val="00FA4E27"/>
    <w:rsid w:val="00FA53E7"/>
    <w:rsid w:val="00FB2ABD"/>
    <w:rsid w:val="00FB4630"/>
    <w:rsid w:val="00FC32DA"/>
    <w:rsid w:val="00FC459D"/>
    <w:rsid w:val="00FD063C"/>
    <w:rsid w:val="00FD34DB"/>
    <w:rsid w:val="00FF5A7C"/>
    <w:rsid w:val="00FF70B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3A945D38-1188-4397-B08B-6541E7C9AD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6A31AE"/>
    <w:pPr>
      <w:spacing w:after="0" w:line="240" w:lineRule="auto"/>
      <w:outlineLvl w:val="0"/>
    </w:pPr>
    <w:rPr>
      <w:rFonts w:ascii="Arial" w:eastAsia="Times New Roman" w:hAnsi="Arial" w:cs="Arial"/>
      <w:b/>
      <w:bCs/>
      <w:color w:val="701471"/>
      <w:sz w:val="28"/>
      <w:szCs w:val="24"/>
      <w:lang w:eastAsia="en-GB"/>
    </w:rPr>
  </w:style>
  <w:style w:type="paragraph" w:styleId="Heading2">
    <w:name w:val="heading 2"/>
    <w:basedOn w:val="Normal"/>
    <w:next w:val="Normal"/>
    <w:link w:val="Heading2Char"/>
    <w:uiPriority w:val="9"/>
    <w:unhideWhenUsed/>
    <w:qFormat/>
    <w:rsid w:val="006A31AE"/>
    <w:pPr>
      <w:spacing w:after="0" w:line="240" w:lineRule="auto"/>
      <w:outlineLvl w:val="1"/>
    </w:pPr>
    <w:rPr>
      <w:rFonts w:ascii="Arial" w:eastAsia="Times New Roman" w:hAnsi="Arial" w:cs="Arial"/>
      <w:bCs/>
      <w:color w:val="006600"/>
      <w:sz w:val="28"/>
      <w:szCs w:val="24"/>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A31AE"/>
    <w:rPr>
      <w:rFonts w:ascii="Arial" w:eastAsia="Times New Roman" w:hAnsi="Arial" w:cs="Arial"/>
      <w:b/>
      <w:bCs/>
      <w:color w:val="701471"/>
      <w:sz w:val="28"/>
      <w:szCs w:val="24"/>
      <w:lang w:eastAsia="en-GB"/>
    </w:rPr>
  </w:style>
  <w:style w:type="character" w:customStyle="1" w:styleId="Heading2Char">
    <w:name w:val="Heading 2 Char"/>
    <w:basedOn w:val="DefaultParagraphFont"/>
    <w:link w:val="Heading2"/>
    <w:uiPriority w:val="9"/>
    <w:rsid w:val="006A31AE"/>
    <w:rPr>
      <w:rFonts w:ascii="Arial" w:eastAsia="Times New Roman" w:hAnsi="Arial" w:cs="Arial"/>
      <w:bCs/>
      <w:color w:val="006600"/>
      <w:sz w:val="28"/>
      <w:szCs w:val="24"/>
      <w:lang w:eastAsia="en-GB"/>
    </w:rPr>
  </w:style>
  <w:style w:type="numbering" w:customStyle="1" w:styleId="NoList1">
    <w:name w:val="No List1"/>
    <w:next w:val="NoList"/>
    <w:uiPriority w:val="99"/>
    <w:semiHidden/>
    <w:unhideWhenUsed/>
    <w:rsid w:val="006A31AE"/>
  </w:style>
  <w:style w:type="paragraph" w:styleId="NoSpacing">
    <w:name w:val="No Spacing"/>
    <w:uiPriority w:val="1"/>
    <w:qFormat/>
    <w:rsid w:val="006A31AE"/>
    <w:pPr>
      <w:spacing w:after="0" w:line="240" w:lineRule="auto"/>
    </w:pPr>
    <w:rPr>
      <w:rFonts w:ascii="Arial" w:hAnsi="Arial" w:cs="Arial"/>
      <w:sz w:val="24"/>
      <w:szCs w:val="24"/>
    </w:rPr>
  </w:style>
  <w:style w:type="paragraph" w:styleId="ListParagraph">
    <w:name w:val="List Paragraph"/>
    <w:basedOn w:val="Normal"/>
    <w:uiPriority w:val="34"/>
    <w:qFormat/>
    <w:rsid w:val="006A31AE"/>
    <w:pPr>
      <w:spacing w:after="200" w:line="276" w:lineRule="auto"/>
      <w:ind w:left="720"/>
      <w:contextualSpacing/>
    </w:pPr>
    <w:rPr>
      <w:rFonts w:ascii="Arial" w:hAnsi="Arial" w:cs="Arial"/>
      <w:sz w:val="24"/>
      <w:szCs w:val="24"/>
    </w:rPr>
  </w:style>
  <w:style w:type="paragraph" w:styleId="Header">
    <w:name w:val="header"/>
    <w:basedOn w:val="Normal"/>
    <w:link w:val="HeaderChar"/>
    <w:uiPriority w:val="99"/>
    <w:unhideWhenUsed/>
    <w:rsid w:val="006A31AE"/>
    <w:pPr>
      <w:tabs>
        <w:tab w:val="center" w:pos="4513"/>
        <w:tab w:val="right" w:pos="9026"/>
      </w:tabs>
      <w:spacing w:after="0" w:line="240" w:lineRule="auto"/>
    </w:pPr>
    <w:rPr>
      <w:rFonts w:ascii="Arial" w:hAnsi="Arial" w:cs="Arial"/>
      <w:sz w:val="24"/>
      <w:szCs w:val="24"/>
    </w:rPr>
  </w:style>
  <w:style w:type="character" w:customStyle="1" w:styleId="HeaderChar">
    <w:name w:val="Header Char"/>
    <w:basedOn w:val="DefaultParagraphFont"/>
    <w:link w:val="Header"/>
    <w:uiPriority w:val="99"/>
    <w:rsid w:val="006A31AE"/>
    <w:rPr>
      <w:rFonts w:ascii="Arial" w:hAnsi="Arial" w:cs="Arial"/>
      <w:sz w:val="24"/>
      <w:szCs w:val="24"/>
    </w:rPr>
  </w:style>
  <w:style w:type="paragraph" w:styleId="Footer">
    <w:name w:val="footer"/>
    <w:basedOn w:val="Normal"/>
    <w:link w:val="FooterChar"/>
    <w:uiPriority w:val="99"/>
    <w:unhideWhenUsed/>
    <w:rsid w:val="006A31AE"/>
    <w:pPr>
      <w:tabs>
        <w:tab w:val="center" w:pos="4513"/>
        <w:tab w:val="right" w:pos="9026"/>
      </w:tabs>
      <w:spacing w:after="0" w:line="240" w:lineRule="auto"/>
    </w:pPr>
    <w:rPr>
      <w:rFonts w:ascii="Arial" w:hAnsi="Arial" w:cs="Arial"/>
      <w:sz w:val="24"/>
      <w:szCs w:val="24"/>
    </w:rPr>
  </w:style>
  <w:style w:type="character" w:customStyle="1" w:styleId="FooterChar">
    <w:name w:val="Footer Char"/>
    <w:basedOn w:val="DefaultParagraphFont"/>
    <w:link w:val="Footer"/>
    <w:uiPriority w:val="99"/>
    <w:rsid w:val="006A31AE"/>
    <w:rPr>
      <w:rFonts w:ascii="Arial" w:hAnsi="Arial" w:cs="Arial"/>
      <w:sz w:val="24"/>
      <w:szCs w:val="24"/>
    </w:rPr>
  </w:style>
  <w:style w:type="paragraph" w:styleId="BalloonText">
    <w:name w:val="Balloon Text"/>
    <w:basedOn w:val="Normal"/>
    <w:link w:val="BalloonTextChar"/>
    <w:uiPriority w:val="99"/>
    <w:semiHidden/>
    <w:unhideWhenUsed/>
    <w:rsid w:val="006A31A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A31AE"/>
    <w:rPr>
      <w:rFonts w:ascii="Tahoma" w:hAnsi="Tahoma" w:cs="Tahoma"/>
      <w:sz w:val="16"/>
      <w:szCs w:val="16"/>
    </w:rPr>
  </w:style>
  <w:style w:type="paragraph" w:styleId="FootnoteText">
    <w:name w:val="footnote text"/>
    <w:basedOn w:val="Normal"/>
    <w:link w:val="FootnoteTextChar"/>
    <w:uiPriority w:val="99"/>
    <w:unhideWhenUsed/>
    <w:rsid w:val="006A31AE"/>
    <w:pPr>
      <w:spacing w:after="0" w:line="240" w:lineRule="auto"/>
    </w:pPr>
    <w:rPr>
      <w:rFonts w:ascii="Arial" w:hAnsi="Arial" w:cs="Arial"/>
      <w:sz w:val="20"/>
      <w:szCs w:val="20"/>
    </w:rPr>
  </w:style>
  <w:style w:type="character" w:customStyle="1" w:styleId="FootnoteTextChar">
    <w:name w:val="Footnote Text Char"/>
    <w:basedOn w:val="DefaultParagraphFont"/>
    <w:link w:val="FootnoteText"/>
    <w:uiPriority w:val="99"/>
    <w:rsid w:val="006A31AE"/>
    <w:rPr>
      <w:rFonts w:ascii="Arial" w:hAnsi="Arial" w:cs="Arial"/>
      <w:sz w:val="20"/>
      <w:szCs w:val="20"/>
    </w:rPr>
  </w:style>
  <w:style w:type="character" w:styleId="FootnoteReference">
    <w:name w:val="footnote reference"/>
    <w:basedOn w:val="DefaultParagraphFont"/>
    <w:uiPriority w:val="99"/>
    <w:unhideWhenUsed/>
    <w:rsid w:val="006A31AE"/>
    <w:rPr>
      <w:vertAlign w:val="superscript"/>
    </w:rPr>
  </w:style>
  <w:style w:type="character" w:customStyle="1" w:styleId="Hyperlink1">
    <w:name w:val="Hyperlink1"/>
    <w:basedOn w:val="DefaultParagraphFont"/>
    <w:uiPriority w:val="99"/>
    <w:unhideWhenUsed/>
    <w:rsid w:val="006A31AE"/>
    <w:rPr>
      <w:color w:val="0000FF"/>
      <w:u w:val="single"/>
    </w:rPr>
  </w:style>
  <w:style w:type="paragraph" w:customStyle="1" w:styleId="Default">
    <w:name w:val="Default"/>
    <w:rsid w:val="006A31AE"/>
    <w:pPr>
      <w:autoSpaceDE w:val="0"/>
      <w:autoSpaceDN w:val="0"/>
      <w:adjustRightInd w:val="0"/>
      <w:spacing w:after="0" w:line="240" w:lineRule="auto"/>
    </w:pPr>
    <w:rPr>
      <w:rFonts w:ascii="Corbel" w:hAnsi="Corbel" w:cs="Corbel"/>
      <w:color w:val="000000"/>
      <w:sz w:val="24"/>
      <w:szCs w:val="24"/>
    </w:rPr>
  </w:style>
  <w:style w:type="paragraph" w:customStyle="1" w:styleId="TOCHeading1">
    <w:name w:val="TOC Heading1"/>
    <w:basedOn w:val="Heading1"/>
    <w:next w:val="Normal"/>
    <w:uiPriority w:val="39"/>
    <w:unhideWhenUsed/>
    <w:qFormat/>
    <w:rsid w:val="006A31AE"/>
    <w:pPr>
      <w:keepNext/>
      <w:keepLines/>
      <w:spacing w:before="480" w:line="276" w:lineRule="auto"/>
      <w:outlineLvl w:val="9"/>
    </w:pPr>
    <w:rPr>
      <w:rFonts w:ascii="Cambria" w:hAnsi="Cambria" w:cs="Times New Roman"/>
      <w:color w:val="365F91"/>
      <w:szCs w:val="28"/>
      <w:lang w:val="en-US" w:eastAsia="en-US"/>
    </w:rPr>
  </w:style>
  <w:style w:type="paragraph" w:styleId="TOC1">
    <w:name w:val="toc 1"/>
    <w:basedOn w:val="Normal"/>
    <w:next w:val="Normal"/>
    <w:autoRedefine/>
    <w:uiPriority w:val="39"/>
    <w:unhideWhenUsed/>
    <w:rsid w:val="006A31AE"/>
    <w:pPr>
      <w:spacing w:after="100" w:line="276" w:lineRule="auto"/>
    </w:pPr>
    <w:rPr>
      <w:rFonts w:ascii="Arial" w:hAnsi="Arial" w:cs="Arial"/>
      <w:sz w:val="24"/>
      <w:szCs w:val="24"/>
    </w:rPr>
  </w:style>
  <w:style w:type="paragraph" w:styleId="TOC2">
    <w:name w:val="toc 2"/>
    <w:basedOn w:val="Normal"/>
    <w:next w:val="Normal"/>
    <w:autoRedefine/>
    <w:uiPriority w:val="39"/>
    <w:unhideWhenUsed/>
    <w:rsid w:val="006A31AE"/>
    <w:pPr>
      <w:spacing w:after="100" w:line="276" w:lineRule="auto"/>
      <w:ind w:left="240"/>
    </w:pPr>
    <w:rPr>
      <w:rFonts w:ascii="Arial" w:hAnsi="Arial" w:cs="Arial"/>
      <w:sz w:val="24"/>
      <w:szCs w:val="24"/>
    </w:rPr>
  </w:style>
  <w:style w:type="paragraph" w:styleId="TOC3">
    <w:name w:val="toc 3"/>
    <w:basedOn w:val="Normal"/>
    <w:next w:val="Normal"/>
    <w:autoRedefine/>
    <w:uiPriority w:val="39"/>
    <w:unhideWhenUsed/>
    <w:rsid w:val="006A31AE"/>
    <w:pPr>
      <w:spacing w:after="100" w:line="276" w:lineRule="auto"/>
      <w:ind w:left="480"/>
    </w:pPr>
    <w:rPr>
      <w:rFonts w:ascii="Arial" w:hAnsi="Arial" w:cs="Arial"/>
      <w:sz w:val="24"/>
      <w:szCs w:val="24"/>
    </w:rPr>
  </w:style>
  <w:style w:type="character" w:customStyle="1" w:styleId="FollowedHyperlink1">
    <w:name w:val="FollowedHyperlink1"/>
    <w:basedOn w:val="DefaultParagraphFont"/>
    <w:uiPriority w:val="99"/>
    <w:semiHidden/>
    <w:unhideWhenUsed/>
    <w:rsid w:val="006A31AE"/>
    <w:rPr>
      <w:color w:val="800080"/>
      <w:u w:val="single"/>
    </w:rPr>
  </w:style>
  <w:style w:type="paragraph" w:styleId="EndnoteText">
    <w:name w:val="endnote text"/>
    <w:basedOn w:val="Normal"/>
    <w:link w:val="EndnoteTextChar"/>
    <w:uiPriority w:val="99"/>
    <w:semiHidden/>
    <w:unhideWhenUsed/>
    <w:rsid w:val="006A31AE"/>
    <w:pPr>
      <w:spacing w:after="0" w:line="240" w:lineRule="auto"/>
    </w:pPr>
    <w:rPr>
      <w:rFonts w:ascii="Arial" w:hAnsi="Arial" w:cs="Arial"/>
      <w:sz w:val="20"/>
      <w:szCs w:val="20"/>
    </w:rPr>
  </w:style>
  <w:style w:type="character" w:customStyle="1" w:styleId="EndnoteTextChar">
    <w:name w:val="Endnote Text Char"/>
    <w:basedOn w:val="DefaultParagraphFont"/>
    <w:link w:val="EndnoteText"/>
    <w:uiPriority w:val="99"/>
    <w:semiHidden/>
    <w:rsid w:val="006A31AE"/>
    <w:rPr>
      <w:rFonts w:ascii="Arial" w:hAnsi="Arial" w:cs="Arial"/>
      <w:sz w:val="20"/>
      <w:szCs w:val="20"/>
    </w:rPr>
  </w:style>
  <w:style w:type="character" w:styleId="EndnoteReference">
    <w:name w:val="endnote reference"/>
    <w:basedOn w:val="DefaultParagraphFont"/>
    <w:uiPriority w:val="99"/>
    <w:semiHidden/>
    <w:unhideWhenUsed/>
    <w:rsid w:val="006A31AE"/>
    <w:rPr>
      <w:vertAlign w:val="superscript"/>
    </w:rPr>
  </w:style>
  <w:style w:type="table" w:styleId="TableGrid">
    <w:name w:val="Table Grid"/>
    <w:basedOn w:val="TableNormal"/>
    <w:uiPriority w:val="59"/>
    <w:rsid w:val="006A31AE"/>
    <w:pPr>
      <w:spacing w:after="0" w:line="240" w:lineRule="auto"/>
    </w:pPr>
    <w:rPr>
      <w:rFonts w:ascii="Arial"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BottomofForm">
    <w:name w:val="HTML Bottom of Form"/>
    <w:basedOn w:val="Normal"/>
    <w:next w:val="Normal"/>
    <w:link w:val="z-BottomofFormChar"/>
    <w:hidden/>
    <w:uiPriority w:val="99"/>
    <w:semiHidden/>
    <w:unhideWhenUsed/>
    <w:rsid w:val="006A31AE"/>
    <w:pPr>
      <w:pBdr>
        <w:top w:val="single" w:sz="6" w:space="1" w:color="auto"/>
      </w:pBdr>
      <w:spacing w:after="0" w:line="240" w:lineRule="auto"/>
      <w:jc w:val="center"/>
    </w:pPr>
    <w:rPr>
      <w:rFonts w:ascii="Arial" w:eastAsia="Times New Roman" w:hAnsi="Arial" w:cs="Arial"/>
      <w:vanish/>
      <w:sz w:val="16"/>
      <w:szCs w:val="16"/>
      <w:lang w:eastAsia="en-GB"/>
    </w:rPr>
  </w:style>
  <w:style w:type="character" w:customStyle="1" w:styleId="z-BottomofFormChar">
    <w:name w:val="z-Bottom of Form Char"/>
    <w:basedOn w:val="DefaultParagraphFont"/>
    <w:link w:val="z-BottomofForm"/>
    <w:uiPriority w:val="99"/>
    <w:semiHidden/>
    <w:rsid w:val="006A31AE"/>
    <w:rPr>
      <w:rFonts w:ascii="Arial" w:eastAsia="Times New Roman" w:hAnsi="Arial" w:cs="Arial"/>
      <w:vanish/>
      <w:sz w:val="16"/>
      <w:szCs w:val="16"/>
      <w:lang w:eastAsia="en-GB"/>
    </w:rPr>
  </w:style>
  <w:style w:type="character" w:styleId="Hyperlink">
    <w:name w:val="Hyperlink"/>
    <w:basedOn w:val="DefaultParagraphFont"/>
    <w:uiPriority w:val="99"/>
    <w:unhideWhenUsed/>
    <w:rsid w:val="006A31AE"/>
    <w:rPr>
      <w:color w:val="0563C1" w:themeColor="hyperlink"/>
      <w:u w:val="single"/>
    </w:rPr>
  </w:style>
  <w:style w:type="character" w:styleId="FollowedHyperlink">
    <w:name w:val="FollowedHyperlink"/>
    <w:basedOn w:val="DefaultParagraphFont"/>
    <w:uiPriority w:val="99"/>
    <w:semiHidden/>
    <w:unhideWhenUsed/>
    <w:rsid w:val="006A31A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004876">
      <w:bodyDiv w:val="1"/>
      <w:marLeft w:val="0"/>
      <w:marRight w:val="0"/>
      <w:marTop w:val="0"/>
      <w:marBottom w:val="0"/>
      <w:divBdr>
        <w:top w:val="none" w:sz="0" w:space="0" w:color="auto"/>
        <w:left w:val="none" w:sz="0" w:space="0" w:color="auto"/>
        <w:bottom w:val="none" w:sz="0" w:space="0" w:color="auto"/>
        <w:right w:val="none" w:sz="0" w:space="0" w:color="auto"/>
      </w:divBdr>
    </w:div>
    <w:div w:id="440491133">
      <w:bodyDiv w:val="1"/>
      <w:marLeft w:val="0"/>
      <w:marRight w:val="0"/>
      <w:marTop w:val="0"/>
      <w:marBottom w:val="0"/>
      <w:divBdr>
        <w:top w:val="none" w:sz="0" w:space="0" w:color="auto"/>
        <w:left w:val="none" w:sz="0" w:space="0" w:color="auto"/>
        <w:bottom w:val="none" w:sz="0" w:space="0" w:color="auto"/>
        <w:right w:val="none" w:sz="0" w:space="0" w:color="auto"/>
      </w:divBdr>
    </w:div>
    <w:div w:id="495924626">
      <w:bodyDiv w:val="1"/>
      <w:marLeft w:val="0"/>
      <w:marRight w:val="0"/>
      <w:marTop w:val="0"/>
      <w:marBottom w:val="0"/>
      <w:divBdr>
        <w:top w:val="none" w:sz="0" w:space="0" w:color="auto"/>
        <w:left w:val="none" w:sz="0" w:space="0" w:color="auto"/>
        <w:bottom w:val="none" w:sz="0" w:space="0" w:color="auto"/>
        <w:right w:val="none" w:sz="0" w:space="0" w:color="auto"/>
      </w:divBdr>
    </w:div>
    <w:div w:id="576017018">
      <w:bodyDiv w:val="1"/>
      <w:marLeft w:val="0"/>
      <w:marRight w:val="0"/>
      <w:marTop w:val="0"/>
      <w:marBottom w:val="0"/>
      <w:divBdr>
        <w:top w:val="none" w:sz="0" w:space="0" w:color="auto"/>
        <w:left w:val="none" w:sz="0" w:space="0" w:color="auto"/>
        <w:bottom w:val="none" w:sz="0" w:space="0" w:color="auto"/>
        <w:right w:val="none" w:sz="0" w:space="0" w:color="auto"/>
      </w:divBdr>
    </w:div>
    <w:div w:id="976758398">
      <w:bodyDiv w:val="1"/>
      <w:marLeft w:val="0"/>
      <w:marRight w:val="0"/>
      <w:marTop w:val="0"/>
      <w:marBottom w:val="0"/>
      <w:divBdr>
        <w:top w:val="none" w:sz="0" w:space="0" w:color="auto"/>
        <w:left w:val="none" w:sz="0" w:space="0" w:color="auto"/>
        <w:bottom w:val="none" w:sz="0" w:space="0" w:color="auto"/>
        <w:right w:val="none" w:sz="0" w:space="0" w:color="auto"/>
      </w:divBdr>
      <w:divsChild>
        <w:div w:id="151724017">
          <w:marLeft w:val="0"/>
          <w:marRight w:val="0"/>
          <w:marTop w:val="0"/>
          <w:marBottom w:val="0"/>
          <w:divBdr>
            <w:top w:val="none" w:sz="0" w:space="0" w:color="auto"/>
            <w:left w:val="none" w:sz="0" w:space="0" w:color="auto"/>
            <w:bottom w:val="none" w:sz="0" w:space="0" w:color="auto"/>
            <w:right w:val="none" w:sz="0" w:space="0" w:color="auto"/>
          </w:divBdr>
        </w:div>
      </w:divsChild>
    </w:div>
    <w:div w:id="1054621027">
      <w:bodyDiv w:val="1"/>
      <w:marLeft w:val="0"/>
      <w:marRight w:val="0"/>
      <w:marTop w:val="0"/>
      <w:marBottom w:val="0"/>
      <w:divBdr>
        <w:top w:val="none" w:sz="0" w:space="0" w:color="auto"/>
        <w:left w:val="none" w:sz="0" w:space="0" w:color="auto"/>
        <w:bottom w:val="none" w:sz="0" w:space="0" w:color="auto"/>
        <w:right w:val="none" w:sz="0" w:space="0" w:color="auto"/>
      </w:divBdr>
    </w:div>
    <w:div w:id="1095978069">
      <w:bodyDiv w:val="1"/>
      <w:marLeft w:val="0"/>
      <w:marRight w:val="0"/>
      <w:marTop w:val="0"/>
      <w:marBottom w:val="0"/>
      <w:divBdr>
        <w:top w:val="none" w:sz="0" w:space="0" w:color="auto"/>
        <w:left w:val="none" w:sz="0" w:space="0" w:color="auto"/>
        <w:bottom w:val="none" w:sz="0" w:space="0" w:color="auto"/>
        <w:right w:val="none" w:sz="0" w:space="0" w:color="auto"/>
      </w:divBdr>
    </w:div>
    <w:div w:id="1316255668">
      <w:bodyDiv w:val="1"/>
      <w:marLeft w:val="0"/>
      <w:marRight w:val="0"/>
      <w:marTop w:val="0"/>
      <w:marBottom w:val="0"/>
      <w:divBdr>
        <w:top w:val="none" w:sz="0" w:space="0" w:color="auto"/>
        <w:left w:val="none" w:sz="0" w:space="0" w:color="auto"/>
        <w:bottom w:val="none" w:sz="0" w:space="0" w:color="auto"/>
        <w:right w:val="none" w:sz="0" w:space="0" w:color="auto"/>
      </w:divBdr>
    </w:div>
    <w:div w:id="1771048077">
      <w:bodyDiv w:val="1"/>
      <w:marLeft w:val="0"/>
      <w:marRight w:val="0"/>
      <w:marTop w:val="0"/>
      <w:marBottom w:val="0"/>
      <w:divBdr>
        <w:top w:val="none" w:sz="0" w:space="0" w:color="auto"/>
        <w:left w:val="none" w:sz="0" w:space="0" w:color="auto"/>
        <w:bottom w:val="none" w:sz="0" w:space="0" w:color="auto"/>
        <w:right w:val="none" w:sz="0" w:space="0" w:color="auto"/>
      </w:divBdr>
    </w:div>
    <w:div w:id="1892840868">
      <w:bodyDiv w:val="1"/>
      <w:marLeft w:val="0"/>
      <w:marRight w:val="0"/>
      <w:marTop w:val="0"/>
      <w:marBottom w:val="0"/>
      <w:divBdr>
        <w:top w:val="none" w:sz="0" w:space="0" w:color="auto"/>
        <w:left w:val="none" w:sz="0" w:space="0" w:color="auto"/>
        <w:bottom w:val="none" w:sz="0" w:space="0" w:color="auto"/>
        <w:right w:val="none" w:sz="0" w:space="0" w:color="auto"/>
      </w:divBdr>
    </w:div>
    <w:div w:id="2093814293">
      <w:bodyDiv w:val="1"/>
      <w:marLeft w:val="0"/>
      <w:marRight w:val="0"/>
      <w:marTop w:val="0"/>
      <w:marBottom w:val="0"/>
      <w:divBdr>
        <w:top w:val="none" w:sz="0" w:space="0" w:color="auto"/>
        <w:left w:val="none" w:sz="0" w:space="0" w:color="auto"/>
        <w:bottom w:val="none" w:sz="0" w:space="0" w:color="auto"/>
        <w:right w:val="none" w:sz="0" w:space="0" w:color="auto"/>
      </w:divBdr>
    </w:div>
    <w:div w:id="21252292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5.xml"/><Relationship Id="rId21" Type="http://schemas.openxmlformats.org/officeDocument/2006/relationships/image" Target="media/image810.png"/><Relationship Id="rId42" Type="http://schemas.openxmlformats.org/officeDocument/2006/relationships/image" Target="media/image13.png"/><Relationship Id="rId63" Type="http://schemas.openxmlformats.org/officeDocument/2006/relationships/image" Target="media/image19.png"/><Relationship Id="rId84" Type="http://schemas.openxmlformats.org/officeDocument/2006/relationships/chart" Target="charts/chart2.xml"/><Relationship Id="rId138" Type="http://schemas.openxmlformats.org/officeDocument/2006/relationships/chart" Target="charts/chart25.xml"/><Relationship Id="rId159" Type="http://schemas.openxmlformats.org/officeDocument/2006/relationships/chart" Target="charts/chart42.xml"/><Relationship Id="rId170" Type="http://schemas.openxmlformats.org/officeDocument/2006/relationships/chart" Target="charts/chart48.xml"/><Relationship Id="rId191" Type="http://schemas.openxmlformats.org/officeDocument/2006/relationships/chart" Target="charts/chart67.xml"/><Relationship Id="rId205" Type="http://schemas.openxmlformats.org/officeDocument/2006/relationships/image" Target="media/image91.png"/><Relationship Id="rId107" Type="http://schemas.openxmlformats.org/officeDocument/2006/relationships/chart" Target="charts/chart7.xml"/><Relationship Id="rId11" Type="http://schemas.openxmlformats.org/officeDocument/2006/relationships/image" Target="media/image38.png"/><Relationship Id="rId32" Type="http://schemas.openxmlformats.org/officeDocument/2006/relationships/footer" Target="footer2.xml"/><Relationship Id="rId37" Type="http://schemas.openxmlformats.org/officeDocument/2006/relationships/image" Target="media/image22.png"/><Relationship Id="rId53" Type="http://schemas.openxmlformats.org/officeDocument/2006/relationships/image" Target="media/image33.png"/><Relationship Id="rId58" Type="http://schemas.openxmlformats.org/officeDocument/2006/relationships/image" Target="media/image37.png"/><Relationship Id="rId74" Type="http://schemas.openxmlformats.org/officeDocument/2006/relationships/image" Target="media/image49.png"/><Relationship Id="rId79" Type="http://schemas.openxmlformats.org/officeDocument/2006/relationships/header" Target="header5.xml"/><Relationship Id="rId102" Type="http://schemas.openxmlformats.org/officeDocument/2006/relationships/footer" Target="footer5.xml"/><Relationship Id="rId123" Type="http://schemas.openxmlformats.org/officeDocument/2006/relationships/image" Target="media/image73.png"/><Relationship Id="rId128" Type="http://schemas.openxmlformats.org/officeDocument/2006/relationships/chart" Target="charts/chart20.xml"/><Relationship Id="rId144" Type="http://schemas.openxmlformats.org/officeDocument/2006/relationships/chart" Target="charts/chart29.xml"/><Relationship Id="rId149" Type="http://schemas.openxmlformats.org/officeDocument/2006/relationships/chart" Target="charts/chart34.xml"/><Relationship Id="rId5" Type="http://schemas.openxmlformats.org/officeDocument/2006/relationships/webSettings" Target="webSettings.xml"/><Relationship Id="rId90" Type="http://schemas.openxmlformats.org/officeDocument/2006/relationships/image" Target="media/image59.png"/><Relationship Id="rId95" Type="http://schemas.openxmlformats.org/officeDocument/2006/relationships/image" Target="media/image64.png"/><Relationship Id="rId160" Type="http://schemas.openxmlformats.org/officeDocument/2006/relationships/chart" Target="charts/chart43.xml"/><Relationship Id="rId165" Type="http://schemas.openxmlformats.org/officeDocument/2006/relationships/chart" Target="charts/chart44.xml"/><Relationship Id="rId181" Type="http://schemas.openxmlformats.org/officeDocument/2006/relationships/chart" Target="charts/chart57.xml"/><Relationship Id="rId186" Type="http://schemas.openxmlformats.org/officeDocument/2006/relationships/chart" Target="charts/chart62.xml"/><Relationship Id="rId211" Type="http://schemas.openxmlformats.org/officeDocument/2006/relationships/footer" Target="footer12.xml"/><Relationship Id="rId22" Type="http://schemas.openxmlformats.org/officeDocument/2006/relationships/image" Target="media/image9.png"/><Relationship Id="rId27" Type="http://schemas.openxmlformats.org/officeDocument/2006/relationships/image" Target="media/image110.png"/><Relationship Id="rId43" Type="http://schemas.openxmlformats.org/officeDocument/2006/relationships/image" Target="media/image25.png"/><Relationship Id="rId48" Type="http://schemas.openxmlformats.org/officeDocument/2006/relationships/image" Target="media/image29.png"/><Relationship Id="rId64" Type="http://schemas.openxmlformats.org/officeDocument/2006/relationships/image" Target="media/image41.jpeg"/><Relationship Id="rId69" Type="http://schemas.openxmlformats.org/officeDocument/2006/relationships/image" Target="media/image45.png"/><Relationship Id="rId113" Type="http://schemas.openxmlformats.org/officeDocument/2006/relationships/chart" Target="charts/chart11.xml"/><Relationship Id="rId118" Type="http://schemas.openxmlformats.org/officeDocument/2006/relationships/chart" Target="charts/chart16.xml"/><Relationship Id="rId134" Type="http://schemas.openxmlformats.org/officeDocument/2006/relationships/footer" Target="footer8.xml"/><Relationship Id="rId139" Type="http://schemas.openxmlformats.org/officeDocument/2006/relationships/image" Target="media/image78.png"/><Relationship Id="rId80" Type="http://schemas.openxmlformats.org/officeDocument/2006/relationships/chart" Target="charts/chart1.xml"/><Relationship Id="rId85" Type="http://schemas.openxmlformats.org/officeDocument/2006/relationships/chart" Target="charts/chart3.xml"/><Relationship Id="rId150" Type="http://schemas.openxmlformats.org/officeDocument/2006/relationships/chart" Target="charts/chart35.xml"/><Relationship Id="rId155" Type="http://schemas.openxmlformats.org/officeDocument/2006/relationships/chart" Target="charts/chart38.xml"/><Relationship Id="rId171" Type="http://schemas.openxmlformats.org/officeDocument/2006/relationships/chart" Target="charts/chart49.xml"/><Relationship Id="rId176" Type="http://schemas.openxmlformats.org/officeDocument/2006/relationships/chart" Target="charts/chart52.xml"/><Relationship Id="rId192" Type="http://schemas.openxmlformats.org/officeDocument/2006/relationships/chart" Target="charts/chart68.xml"/><Relationship Id="rId197" Type="http://schemas.openxmlformats.org/officeDocument/2006/relationships/footer" Target="footer11.xml"/><Relationship Id="rId206" Type="http://schemas.openxmlformats.org/officeDocument/2006/relationships/chart" Target="charts/chart73.xml"/><Relationship Id="rId201" Type="http://schemas.openxmlformats.org/officeDocument/2006/relationships/image" Target="media/image87.png"/><Relationship Id="rId12" Type="http://schemas.openxmlformats.org/officeDocument/2006/relationships/image" Target="media/image4.png"/><Relationship Id="rId17" Type="http://schemas.openxmlformats.org/officeDocument/2006/relationships/image" Target="media/image610.png"/><Relationship Id="rId33" Type="http://schemas.openxmlformats.org/officeDocument/2006/relationships/hyperlink" Target="mailto:Edmund.Fallon@croydon.gov.uk" TargetMode="External"/><Relationship Id="rId38" Type="http://schemas.openxmlformats.org/officeDocument/2006/relationships/header" Target="header4.xml"/><Relationship Id="rId59" Type="http://schemas.openxmlformats.org/officeDocument/2006/relationships/image" Target="media/image38.jpeg"/><Relationship Id="rId103" Type="http://schemas.openxmlformats.org/officeDocument/2006/relationships/chart" Target="charts/chart4.xml"/><Relationship Id="rId108" Type="http://schemas.openxmlformats.org/officeDocument/2006/relationships/chart" Target="charts/chart8.xml"/><Relationship Id="rId124" Type="http://schemas.openxmlformats.org/officeDocument/2006/relationships/image" Target="media/image74.png"/><Relationship Id="rId129" Type="http://schemas.openxmlformats.org/officeDocument/2006/relationships/chart" Target="charts/chart21.xml"/><Relationship Id="rId54" Type="http://schemas.openxmlformats.org/officeDocument/2006/relationships/image" Target="media/image18.png"/><Relationship Id="rId70" Type="http://schemas.openxmlformats.org/officeDocument/2006/relationships/image" Target="media/image46.jpeg"/><Relationship Id="rId75" Type="http://schemas.openxmlformats.org/officeDocument/2006/relationships/image" Target="media/image50.png"/><Relationship Id="rId91" Type="http://schemas.openxmlformats.org/officeDocument/2006/relationships/image" Target="media/image60.png"/><Relationship Id="rId96" Type="http://schemas.openxmlformats.org/officeDocument/2006/relationships/image" Target="media/image65.png"/><Relationship Id="rId140" Type="http://schemas.openxmlformats.org/officeDocument/2006/relationships/image" Target="media/image79.png"/><Relationship Id="rId145" Type="http://schemas.openxmlformats.org/officeDocument/2006/relationships/chart" Target="charts/chart30.xml"/><Relationship Id="rId161" Type="http://schemas.openxmlformats.org/officeDocument/2006/relationships/image" Target="media/image80.png"/><Relationship Id="rId166" Type="http://schemas.openxmlformats.org/officeDocument/2006/relationships/image" Target="media/image84.png"/><Relationship Id="rId182" Type="http://schemas.openxmlformats.org/officeDocument/2006/relationships/chart" Target="charts/chart58.xml"/><Relationship Id="rId187" Type="http://schemas.openxmlformats.org/officeDocument/2006/relationships/chart" Target="charts/chart63.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ntTable" Target="fontTable.xml"/><Relationship Id="rId23" Type="http://schemas.openxmlformats.org/officeDocument/2006/relationships/image" Target="media/image92.png"/><Relationship Id="rId28" Type="http://schemas.openxmlformats.org/officeDocument/2006/relationships/header" Target="header1.xml"/><Relationship Id="rId49" Type="http://schemas.openxmlformats.org/officeDocument/2006/relationships/image" Target="media/image16.png"/><Relationship Id="rId114" Type="http://schemas.openxmlformats.org/officeDocument/2006/relationships/chart" Target="charts/chart12.xml"/><Relationship Id="rId119" Type="http://schemas.openxmlformats.org/officeDocument/2006/relationships/image" Target="media/image71.png"/><Relationship Id="rId44" Type="http://schemas.openxmlformats.org/officeDocument/2006/relationships/image" Target="media/image26.png"/><Relationship Id="rId60" Type="http://schemas.openxmlformats.org/officeDocument/2006/relationships/image" Target="media/image39.png"/><Relationship Id="rId65" Type="http://schemas.openxmlformats.org/officeDocument/2006/relationships/image" Target="cid:image001.jpg@01D4A420.35F9D060" TargetMode="External"/><Relationship Id="rId81" Type="http://schemas.openxmlformats.org/officeDocument/2006/relationships/image" Target="media/image53.png"/><Relationship Id="rId86" Type="http://schemas.openxmlformats.org/officeDocument/2006/relationships/image" Target="media/image56.png"/><Relationship Id="rId130" Type="http://schemas.openxmlformats.org/officeDocument/2006/relationships/chart" Target="charts/chart22.xml"/><Relationship Id="rId135" Type="http://schemas.openxmlformats.org/officeDocument/2006/relationships/image" Target="media/image75.png"/><Relationship Id="rId151" Type="http://schemas.openxmlformats.org/officeDocument/2006/relationships/header" Target="header11.xml"/><Relationship Id="rId156" Type="http://schemas.openxmlformats.org/officeDocument/2006/relationships/chart" Target="charts/chart39.xml"/><Relationship Id="rId177" Type="http://schemas.openxmlformats.org/officeDocument/2006/relationships/chart" Target="charts/chart53.xml"/><Relationship Id="rId198" Type="http://schemas.openxmlformats.org/officeDocument/2006/relationships/chart" Target="charts/chart71.xml"/><Relationship Id="rId172" Type="http://schemas.openxmlformats.org/officeDocument/2006/relationships/header" Target="header12.xml"/><Relationship Id="rId193" Type="http://schemas.openxmlformats.org/officeDocument/2006/relationships/chart" Target="charts/chart69.xml"/><Relationship Id="rId202" Type="http://schemas.openxmlformats.org/officeDocument/2006/relationships/image" Target="media/image88.png"/><Relationship Id="rId207" Type="http://schemas.openxmlformats.org/officeDocument/2006/relationships/chart" Target="charts/chart74.xml"/><Relationship Id="rId13" Type="http://schemas.openxmlformats.org/officeDocument/2006/relationships/image" Target="media/image41.png"/><Relationship Id="rId18" Type="http://schemas.openxmlformats.org/officeDocument/2006/relationships/image" Target="media/image7.png"/><Relationship Id="rId39" Type="http://schemas.openxmlformats.org/officeDocument/2006/relationships/image" Target="media/image23.png"/><Relationship Id="rId109" Type="http://schemas.openxmlformats.org/officeDocument/2006/relationships/chart" Target="charts/chart9.xml"/><Relationship Id="rId34" Type="http://schemas.openxmlformats.org/officeDocument/2006/relationships/image" Target="media/image12.png"/><Relationship Id="rId50" Type="http://schemas.openxmlformats.org/officeDocument/2006/relationships/image" Target="media/image30.png"/><Relationship Id="rId55" Type="http://schemas.openxmlformats.org/officeDocument/2006/relationships/image" Target="media/image34.png"/><Relationship Id="rId76" Type="http://schemas.openxmlformats.org/officeDocument/2006/relationships/image" Target="media/image51.png"/><Relationship Id="rId97" Type="http://schemas.openxmlformats.org/officeDocument/2006/relationships/image" Target="media/image66.png"/><Relationship Id="rId104" Type="http://schemas.openxmlformats.org/officeDocument/2006/relationships/chart" Target="charts/chart5.xml"/><Relationship Id="rId120" Type="http://schemas.openxmlformats.org/officeDocument/2006/relationships/image" Target="media/image72.png"/><Relationship Id="rId125" Type="http://schemas.openxmlformats.org/officeDocument/2006/relationships/chart" Target="charts/chart17.xml"/><Relationship Id="rId141" Type="http://schemas.openxmlformats.org/officeDocument/2006/relationships/chart" Target="charts/chart26.xml"/><Relationship Id="rId146" Type="http://schemas.openxmlformats.org/officeDocument/2006/relationships/chart" Target="charts/chart31.xml"/><Relationship Id="rId167" Type="http://schemas.openxmlformats.org/officeDocument/2006/relationships/chart" Target="charts/chart45.xml"/><Relationship Id="rId188" Type="http://schemas.openxmlformats.org/officeDocument/2006/relationships/chart" Target="charts/chart64.xm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61.png"/><Relationship Id="rId162" Type="http://schemas.openxmlformats.org/officeDocument/2006/relationships/image" Target="media/image81.png"/><Relationship Id="rId183" Type="http://schemas.openxmlformats.org/officeDocument/2006/relationships/chart" Target="charts/chart59.xml"/><Relationship Id="rId21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footer" Target="footer1.xml"/><Relationship Id="rId24" Type="http://schemas.openxmlformats.org/officeDocument/2006/relationships/image" Target="media/image10.png"/><Relationship Id="rId40" Type="http://schemas.openxmlformats.org/officeDocument/2006/relationships/image" Target="media/image17.png"/><Relationship Id="rId45" Type="http://schemas.openxmlformats.org/officeDocument/2006/relationships/image" Target="media/image27.png"/><Relationship Id="rId66" Type="http://schemas.openxmlformats.org/officeDocument/2006/relationships/image" Target="media/image42.png"/><Relationship Id="rId87" Type="http://schemas.openxmlformats.org/officeDocument/2006/relationships/image" Target="media/image57.png"/><Relationship Id="rId110" Type="http://schemas.openxmlformats.org/officeDocument/2006/relationships/header" Target="header8.xml"/><Relationship Id="rId115" Type="http://schemas.openxmlformats.org/officeDocument/2006/relationships/chart" Target="charts/chart13.xml"/><Relationship Id="rId131" Type="http://schemas.openxmlformats.org/officeDocument/2006/relationships/chart" Target="charts/chart23.xml"/><Relationship Id="rId136" Type="http://schemas.openxmlformats.org/officeDocument/2006/relationships/image" Target="media/image76.png"/><Relationship Id="rId157" Type="http://schemas.openxmlformats.org/officeDocument/2006/relationships/chart" Target="charts/chart40.xml"/><Relationship Id="rId178" Type="http://schemas.openxmlformats.org/officeDocument/2006/relationships/chart" Target="charts/chart54.xml"/><Relationship Id="rId61" Type="http://schemas.openxmlformats.org/officeDocument/2006/relationships/image" Target="media/image40.png"/><Relationship Id="rId82" Type="http://schemas.openxmlformats.org/officeDocument/2006/relationships/image" Target="media/image54.png"/><Relationship Id="rId152" Type="http://schemas.openxmlformats.org/officeDocument/2006/relationships/footer" Target="footer9.xml"/><Relationship Id="rId173" Type="http://schemas.openxmlformats.org/officeDocument/2006/relationships/footer" Target="footer10.xml"/><Relationship Id="rId194" Type="http://schemas.openxmlformats.org/officeDocument/2006/relationships/chart" Target="charts/chart70.xml"/><Relationship Id="rId199" Type="http://schemas.openxmlformats.org/officeDocument/2006/relationships/chart" Target="charts/chart72.xml"/><Relationship Id="rId203" Type="http://schemas.openxmlformats.org/officeDocument/2006/relationships/image" Target="media/image89.png"/><Relationship Id="rId208" Type="http://schemas.openxmlformats.org/officeDocument/2006/relationships/chart" Target="charts/chart75.xml"/><Relationship Id="rId19" Type="http://schemas.openxmlformats.org/officeDocument/2006/relationships/image" Target="media/image710.png"/><Relationship Id="rId14" Type="http://schemas.openxmlformats.org/officeDocument/2006/relationships/image" Target="media/image5.png"/><Relationship Id="rId30" Type="http://schemas.openxmlformats.org/officeDocument/2006/relationships/header" Target="header2.xml"/><Relationship Id="rId35" Type="http://schemas.openxmlformats.org/officeDocument/2006/relationships/image" Target="media/image20.png"/><Relationship Id="rId56" Type="http://schemas.openxmlformats.org/officeDocument/2006/relationships/image" Target="media/image35.png"/><Relationship Id="rId77" Type="http://schemas.openxmlformats.org/officeDocument/2006/relationships/image" Target="media/image52.png"/><Relationship Id="rId100" Type="http://schemas.openxmlformats.org/officeDocument/2006/relationships/image" Target="media/image69.png"/><Relationship Id="rId105" Type="http://schemas.openxmlformats.org/officeDocument/2006/relationships/chart" Target="charts/chart6.xml"/><Relationship Id="rId126" Type="http://schemas.openxmlformats.org/officeDocument/2006/relationships/chart" Target="charts/chart18.xml"/><Relationship Id="rId147" Type="http://schemas.openxmlformats.org/officeDocument/2006/relationships/chart" Target="charts/chart32.xml"/><Relationship Id="rId168" Type="http://schemas.openxmlformats.org/officeDocument/2006/relationships/chart" Target="charts/chart46.xml"/><Relationship Id="rId8" Type="http://schemas.openxmlformats.org/officeDocument/2006/relationships/image" Target="media/image2.png"/><Relationship Id="rId51" Type="http://schemas.openxmlformats.org/officeDocument/2006/relationships/image" Target="media/image31.png"/><Relationship Id="rId72" Type="http://schemas.openxmlformats.org/officeDocument/2006/relationships/image" Target="media/image15.png"/><Relationship Id="rId93" Type="http://schemas.openxmlformats.org/officeDocument/2006/relationships/image" Target="media/image62.png"/><Relationship Id="rId98" Type="http://schemas.openxmlformats.org/officeDocument/2006/relationships/image" Target="media/image67.png"/><Relationship Id="rId121" Type="http://schemas.openxmlformats.org/officeDocument/2006/relationships/header" Target="header9.xml"/><Relationship Id="rId142" Type="http://schemas.openxmlformats.org/officeDocument/2006/relationships/chart" Target="charts/chart27.xml"/><Relationship Id="rId163" Type="http://schemas.openxmlformats.org/officeDocument/2006/relationships/image" Target="media/image82.png"/><Relationship Id="rId184" Type="http://schemas.openxmlformats.org/officeDocument/2006/relationships/chart" Target="charts/chart60.xml"/><Relationship Id="rId189" Type="http://schemas.openxmlformats.org/officeDocument/2006/relationships/chart" Target="charts/chart65.xml"/><Relationship Id="rId3" Type="http://schemas.openxmlformats.org/officeDocument/2006/relationships/styles" Target="styles.xml"/><Relationship Id="rId25" Type="http://schemas.openxmlformats.org/officeDocument/2006/relationships/image" Target="media/image100.png"/><Relationship Id="rId46" Type="http://schemas.openxmlformats.org/officeDocument/2006/relationships/image" Target="media/image28.png"/><Relationship Id="rId67" Type="http://schemas.openxmlformats.org/officeDocument/2006/relationships/image" Target="media/image43.png"/><Relationship Id="rId116" Type="http://schemas.openxmlformats.org/officeDocument/2006/relationships/chart" Target="charts/chart14.xml"/><Relationship Id="rId137" Type="http://schemas.openxmlformats.org/officeDocument/2006/relationships/image" Target="media/image77.png"/><Relationship Id="rId158" Type="http://schemas.openxmlformats.org/officeDocument/2006/relationships/chart" Target="charts/chart41.xml"/><Relationship Id="rId20" Type="http://schemas.openxmlformats.org/officeDocument/2006/relationships/image" Target="media/image8.png"/><Relationship Id="rId41" Type="http://schemas.openxmlformats.org/officeDocument/2006/relationships/image" Target="media/image24.png"/><Relationship Id="rId62" Type="http://schemas.openxmlformats.org/officeDocument/2006/relationships/footer" Target="footer3.xml"/><Relationship Id="rId83" Type="http://schemas.openxmlformats.org/officeDocument/2006/relationships/image" Target="media/image55.png"/><Relationship Id="rId88" Type="http://schemas.openxmlformats.org/officeDocument/2006/relationships/image" Target="media/image58.png"/><Relationship Id="rId111" Type="http://schemas.openxmlformats.org/officeDocument/2006/relationships/footer" Target="footer6.xml"/><Relationship Id="rId132" Type="http://schemas.openxmlformats.org/officeDocument/2006/relationships/chart" Target="charts/chart24.xml"/><Relationship Id="rId153" Type="http://schemas.openxmlformats.org/officeDocument/2006/relationships/chart" Target="charts/chart36.xml"/><Relationship Id="rId174" Type="http://schemas.openxmlformats.org/officeDocument/2006/relationships/chart" Target="charts/chart50.xml"/><Relationship Id="rId179" Type="http://schemas.openxmlformats.org/officeDocument/2006/relationships/chart" Target="charts/chart55.xml"/><Relationship Id="rId195" Type="http://schemas.openxmlformats.org/officeDocument/2006/relationships/image" Target="media/image85.png"/><Relationship Id="rId209" Type="http://schemas.openxmlformats.org/officeDocument/2006/relationships/chart" Target="charts/chart76.xml"/><Relationship Id="rId190" Type="http://schemas.openxmlformats.org/officeDocument/2006/relationships/chart" Target="charts/chart66.xml"/><Relationship Id="rId204" Type="http://schemas.openxmlformats.org/officeDocument/2006/relationships/image" Target="media/image90.png"/><Relationship Id="rId15" Type="http://schemas.openxmlformats.org/officeDocument/2006/relationships/image" Target="media/image510.png"/><Relationship Id="rId36" Type="http://schemas.openxmlformats.org/officeDocument/2006/relationships/image" Target="media/image21.png"/><Relationship Id="rId57" Type="http://schemas.openxmlformats.org/officeDocument/2006/relationships/image" Target="media/image36.png"/><Relationship Id="rId106" Type="http://schemas.openxmlformats.org/officeDocument/2006/relationships/image" Target="media/image70.png"/><Relationship Id="rId127" Type="http://schemas.openxmlformats.org/officeDocument/2006/relationships/chart" Target="charts/chart19.xml"/><Relationship Id="rId10" Type="http://schemas.openxmlformats.org/officeDocument/2006/relationships/image" Target="media/image3.png"/><Relationship Id="rId31" Type="http://schemas.openxmlformats.org/officeDocument/2006/relationships/header" Target="header3.xml"/><Relationship Id="rId52" Type="http://schemas.openxmlformats.org/officeDocument/2006/relationships/image" Target="media/image32.png"/><Relationship Id="rId73" Type="http://schemas.openxmlformats.org/officeDocument/2006/relationships/image" Target="media/image48.png"/><Relationship Id="rId78" Type="http://schemas.openxmlformats.org/officeDocument/2006/relationships/footer" Target="footer4.xml"/><Relationship Id="rId94" Type="http://schemas.openxmlformats.org/officeDocument/2006/relationships/image" Target="media/image63.png"/><Relationship Id="rId99" Type="http://schemas.openxmlformats.org/officeDocument/2006/relationships/image" Target="media/image68.png"/><Relationship Id="rId101" Type="http://schemas.openxmlformats.org/officeDocument/2006/relationships/header" Target="header7.xml"/><Relationship Id="rId122" Type="http://schemas.openxmlformats.org/officeDocument/2006/relationships/footer" Target="footer7.xml"/><Relationship Id="rId143" Type="http://schemas.openxmlformats.org/officeDocument/2006/relationships/chart" Target="charts/chart28.xml"/><Relationship Id="rId148" Type="http://schemas.openxmlformats.org/officeDocument/2006/relationships/chart" Target="charts/chart33.xml"/><Relationship Id="rId164" Type="http://schemas.openxmlformats.org/officeDocument/2006/relationships/image" Target="media/image83.png"/><Relationship Id="rId169" Type="http://schemas.openxmlformats.org/officeDocument/2006/relationships/chart" Target="charts/chart47.xml"/><Relationship Id="rId185" Type="http://schemas.openxmlformats.org/officeDocument/2006/relationships/chart" Target="charts/chart61.xml"/><Relationship Id="rId4" Type="http://schemas.openxmlformats.org/officeDocument/2006/relationships/settings" Target="settings.xml"/><Relationship Id="rId9" Type="http://schemas.openxmlformats.org/officeDocument/2006/relationships/image" Target="media/image210.png"/><Relationship Id="rId180" Type="http://schemas.openxmlformats.org/officeDocument/2006/relationships/chart" Target="charts/chart56.xml"/><Relationship Id="rId210" Type="http://schemas.openxmlformats.org/officeDocument/2006/relationships/header" Target="header14.xml"/><Relationship Id="rId26" Type="http://schemas.openxmlformats.org/officeDocument/2006/relationships/image" Target="media/image11.png"/><Relationship Id="rId47" Type="http://schemas.openxmlformats.org/officeDocument/2006/relationships/image" Target="media/image14.png"/><Relationship Id="rId68" Type="http://schemas.openxmlformats.org/officeDocument/2006/relationships/image" Target="media/image44.png"/><Relationship Id="rId89" Type="http://schemas.openxmlformats.org/officeDocument/2006/relationships/header" Target="header6.xml"/><Relationship Id="rId112" Type="http://schemas.openxmlformats.org/officeDocument/2006/relationships/chart" Target="charts/chart10.xml"/><Relationship Id="rId133" Type="http://schemas.openxmlformats.org/officeDocument/2006/relationships/header" Target="header10.xml"/><Relationship Id="rId154" Type="http://schemas.openxmlformats.org/officeDocument/2006/relationships/chart" Target="charts/chart37.xml"/><Relationship Id="rId175" Type="http://schemas.openxmlformats.org/officeDocument/2006/relationships/chart" Target="charts/chart51.xml"/><Relationship Id="rId196" Type="http://schemas.openxmlformats.org/officeDocument/2006/relationships/header" Target="header13.xml"/><Relationship Id="rId200" Type="http://schemas.openxmlformats.org/officeDocument/2006/relationships/image" Target="media/image86.png"/><Relationship Id="rId16" Type="http://schemas.openxmlformats.org/officeDocument/2006/relationships/image" Target="media/image6.png"/></Relationships>
</file>

<file path=word/_rels/footnotes.xml.rels><?xml version="1.0" encoding="UTF-8" standalone="yes"?>
<Relationships xmlns="http://schemas.openxmlformats.org/package/2006/relationships"><Relationship Id="rId8" Type="http://schemas.openxmlformats.org/officeDocument/2006/relationships/hyperlink" Target="https://www.ons.gov.uk/peoplepopulationandcommunity/birthsdeathsandmarriages/conceptionandfertilityrates/datasets/conceptionstatisticsenglandandwalesreferencetables" TargetMode="External"/><Relationship Id="rId13" Type="http://schemas.openxmlformats.org/officeDocument/2006/relationships/hyperlink" Target="https://fingertips.phe.org.uk/profile/sexualhealth" TargetMode="External"/><Relationship Id="rId18" Type="http://schemas.openxmlformats.org/officeDocument/2006/relationships/hyperlink" Target="https://fingertips.phe.org.uk/profile/health-profiles" TargetMode="External"/><Relationship Id="rId3" Type="http://schemas.openxmlformats.org/officeDocument/2006/relationships/hyperlink" Target="https://fingertips.phe.org.uk/profile/public-health-outcomes-framework" TargetMode="External"/><Relationship Id="rId21" Type="http://schemas.openxmlformats.org/officeDocument/2006/relationships/hyperlink" Target="https://fingertips.phe.org.uk/profile/health-profiles" TargetMode="External"/><Relationship Id="rId7" Type="http://schemas.openxmlformats.org/officeDocument/2006/relationships/hyperlink" Target="https://fingertips.phe.org.uk/profile/sexualhealth" TargetMode="External"/><Relationship Id="rId12" Type="http://schemas.openxmlformats.org/officeDocument/2006/relationships/hyperlink" Target="https://fingertips.phe.org.uk/profile/sexualhealth" TargetMode="External"/><Relationship Id="rId17" Type="http://schemas.openxmlformats.org/officeDocument/2006/relationships/hyperlink" Target="https://www.ons.gov.uk/peoplepopulationandcommunity/wellbeing/bulletins/measuringnationalwellbeing/april2016tomarch2017" TargetMode="External"/><Relationship Id="rId2" Type="http://schemas.openxmlformats.org/officeDocument/2006/relationships/hyperlink" Target="https://fingertips.phe.org.uk/profile-group/child-health" TargetMode="External"/><Relationship Id="rId16" Type="http://schemas.openxmlformats.org/officeDocument/2006/relationships/hyperlink" Target="https://www.ons.gov.uk/peoplepopulationandcommunity/wellbeing/bulletins/measuringnationalwellbeing/april2016tomarch2017" TargetMode="External"/><Relationship Id="rId20" Type="http://schemas.openxmlformats.org/officeDocument/2006/relationships/hyperlink" Target="https://fingertips.phe.org.uk/profile/health-profiles" TargetMode="External"/><Relationship Id="rId1" Type="http://schemas.openxmlformats.org/officeDocument/2006/relationships/hyperlink" Target="http://www.gires.org.uk/GID8301.PDF" TargetMode="External"/><Relationship Id="rId6" Type="http://schemas.openxmlformats.org/officeDocument/2006/relationships/hyperlink" Target="https://fingertips.phe.org.uk/profile/national-child-measurement-programme" TargetMode="External"/><Relationship Id="rId11" Type="http://schemas.openxmlformats.org/officeDocument/2006/relationships/hyperlink" Target="https://www.ons.gov.uk/peoplepopulationandcommunity/birthsdeathsandmarriages/conceptionandfertilityrates/datasets/conceptionstatisticsenglandandwalesreferencetables" TargetMode="External"/><Relationship Id="rId5" Type="http://schemas.openxmlformats.org/officeDocument/2006/relationships/hyperlink" Target="https://fingertips.phe.org.uk/profile/national-child-measurement-programme" TargetMode="External"/><Relationship Id="rId15" Type="http://schemas.openxmlformats.org/officeDocument/2006/relationships/hyperlink" Target="https://fingertips.phe.org.uk/profile/public-health-outcomes-framework" TargetMode="External"/><Relationship Id="rId23" Type="http://schemas.openxmlformats.org/officeDocument/2006/relationships/hyperlink" Target="https://fingertips.phe.org.uk/profile/public-health-outcomes-framework" TargetMode="External"/><Relationship Id="rId10" Type="http://schemas.openxmlformats.org/officeDocument/2006/relationships/hyperlink" Target="https://fingertips.phe.org.uk/profile/sexualhealth" TargetMode="External"/><Relationship Id="rId19" Type="http://schemas.openxmlformats.org/officeDocument/2006/relationships/hyperlink" Target="https://fingertips.phe.org.uk/profile/public-health-outcomes-framework" TargetMode="External"/><Relationship Id="rId4" Type="http://schemas.openxmlformats.org/officeDocument/2006/relationships/hyperlink" Target="https://fingertips.phe.org.uk/profile/public-health-outcomes-framework" TargetMode="External"/><Relationship Id="rId9" Type="http://schemas.openxmlformats.org/officeDocument/2006/relationships/hyperlink" Target="https://fingertips.phe.org.uk/profile/sexualhealth" TargetMode="External"/><Relationship Id="rId14" Type="http://schemas.openxmlformats.org/officeDocument/2006/relationships/hyperlink" Target="https://fingertips.phe.org.uk/profile/health-profiles" TargetMode="External"/><Relationship Id="rId22" Type="http://schemas.openxmlformats.org/officeDocument/2006/relationships/hyperlink" Target="https://fingertips.phe.org.uk/profile/tobacco-control" TargetMode="External"/></Relationships>
</file>

<file path=word/_rels/header10.xml.rels><?xml version="1.0" encoding="UTF-8" standalone="yes"?>
<Relationships xmlns="http://schemas.openxmlformats.org/package/2006/relationships"><Relationship Id="rId8" Type="http://schemas.openxmlformats.org/officeDocument/2006/relationships/image" Target="media/image18.png"/><Relationship Id="rId3" Type="http://schemas.openxmlformats.org/officeDocument/2006/relationships/image" Target="media/image14.png"/><Relationship Id="rId7" Type="http://schemas.openxmlformats.org/officeDocument/2006/relationships/image" Target="media/image5.png"/><Relationship Id="rId2" Type="http://schemas.openxmlformats.org/officeDocument/2006/relationships/image" Target="media/image13.png"/><Relationship Id="rId1" Type="http://schemas.openxmlformats.org/officeDocument/2006/relationships/image" Target="media/image12.png"/><Relationship Id="rId6" Type="http://schemas.openxmlformats.org/officeDocument/2006/relationships/image" Target="media/image17.png"/><Relationship Id="rId5" Type="http://schemas.openxmlformats.org/officeDocument/2006/relationships/image" Target="media/image16.png"/><Relationship Id="rId4" Type="http://schemas.openxmlformats.org/officeDocument/2006/relationships/image" Target="media/image15.png"/><Relationship Id="rId9" Type="http://schemas.openxmlformats.org/officeDocument/2006/relationships/image" Target="media/image19.png"/></Relationships>
</file>

<file path=word/_rels/header11.xml.rels><?xml version="1.0" encoding="UTF-8" standalone="yes"?>
<Relationships xmlns="http://schemas.openxmlformats.org/package/2006/relationships"><Relationship Id="rId8" Type="http://schemas.openxmlformats.org/officeDocument/2006/relationships/image" Target="media/image18.png"/><Relationship Id="rId3" Type="http://schemas.openxmlformats.org/officeDocument/2006/relationships/image" Target="media/image14.png"/><Relationship Id="rId7" Type="http://schemas.openxmlformats.org/officeDocument/2006/relationships/image" Target="media/image5.png"/><Relationship Id="rId2" Type="http://schemas.openxmlformats.org/officeDocument/2006/relationships/image" Target="media/image13.png"/><Relationship Id="rId1" Type="http://schemas.openxmlformats.org/officeDocument/2006/relationships/image" Target="media/image12.png"/><Relationship Id="rId6" Type="http://schemas.openxmlformats.org/officeDocument/2006/relationships/image" Target="media/image17.png"/><Relationship Id="rId5" Type="http://schemas.openxmlformats.org/officeDocument/2006/relationships/image" Target="media/image16.png"/><Relationship Id="rId4" Type="http://schemas.openxmlformats.org/officeDocument/2006/relationships/image" Target="media/image15.png"/><Relationship Id="rId9" Type="http://schemas.openxmlformats.org/officeDocument/2006/relationships/image" Target="media/image19.png"/></Relationships>
</file>

<file path=word/_rels/header12.xml.rels><?xml version="1.0" encoding="UTF-8" standalone="yes"?>
<Relationships xmlns="http://schemas.openxmlformats.org/package/2006/relationships"><Relationship Id="rId8" Type="http://schemas.openxmlformats.org/officeDocument/2006/relationships/image" Target="media/image18.png"/><Relationship Id="rId3" Type="http://schemas.openxmlformats.org/officeDocument/2006/relationships/image" Target="media/image14.png"/><Relationship Id="rId7" Type="http://schemas.openxmlformats.org/officeDocument/2006/relationships/image" Target="media/image5.png"/><Relationship Id="rId2" Type="http://schemas.openxmlformats.org/officeDocument/2006/relationships/image" Target="media/image13.png"/><Relationship Id="rId1" Type="http://schemas.openxmlformats.org/officeDocument/2006/relationships/image" Target="media/image12.png"/><Relationship Id="rId6" Type="http://schemas.openxmlformats.org/officeDocument/2006/relationships/image" Target="media/image17.png"/><Relationship Id="rId5" Type="http://schemas.openxmlformats.org/officeDocument/2006/relationships/image" Target="media/image16.png"/><Relationship Id="rId4" Type="http://schemas.openxmlformats.org/officeDocument/2006/relationships/image" Target="media/image15.png"/><Relationship Id="rId9" Type="http://schemas.openxmlformats.org/officeDocument/2006/relationships/image" Target="media/image19.png"/></Relationships>
</file>

<file path=word/_rels/header13.xml.rels><?xml version="1.0" encoding="UTF-8" standalone="yes"?>
<Relationships xmlns="http://schemas.openxmlformats.org/package/2006/relationships"><Relationship Id="rId8" Type="http://schemas.openxmlformats.org/officeDocument/2006/relationships/image" Target="media/image18.png"/><Relationship Id="rId3" Type="http://schemas.openxmlformats.org/officeDocument/2006/relationships/image" Target="media/image14.png"/><Relationship Id="rId7" Type="http://schemas.openxmlformats.org/officeDocument/2006/relationships/image" Target="media/image5.png"/><Relationship Id="rId2" Type="http://schemas.openxmlformats.org/officeDocument/2006/relationships/image" Target="media/image13.png"/><Relationship Id="rId1" Type="http://schemas.openxmlformats.org/officeDocument/2006/relationships/image" Target="media/image12.png"/><Relationship Id="rId6" Type="http://schemas.openxmlformats.org/officeDocument/2006/relationships/image" Target="media/image17.png"/><Relationship Id="rId5" Type="http://schemas.openxmlformats.org/officeDocument/2006/relationships/image" Target="media/image16.png"/><Relationship Id="rId4" Type="http://schemas.openxmlformats.org/officeDocument/2006/relationships/image" Target="media/image15.png"/><Relationship Id="rId9" Type="http://schemas.openxmlformats.org/officeDocument/2006/relationships/image" Target="media/image19.png"/></Relationships>
</file>

<file path=word/_rels/header14.xml.rels><?xml version="1.0" encoding="UTF-8" standalone="yes"?>
<Relationships xmlns="http://schemas.openxmlformats.org/package/2006/relationships"><Relationship Id="rId8" Type="http://schemas.openxmlformats.org/officeDocument/2006/relationships/image" Target="media/image18.png"/><Relationship Id="rId3" Type="http://schemas.openxmlformats.org/officeDocument/2006/relationships/image" Target="media/image14.png"/><Relationship Id="rId7" Type="http://schemas.openxmlformats.org/officeDocument/2006/relationships/image" Target="media/image5.png"/><Relationship Id="rId2" Type="http://schemas.openxmlformats.org/officeDocument/2006/relationships/image" Target="media/image13.png"/><Relationship Id="rId1" Type="http://schemas.openxmlformats.org/officeDocument/2006/relationships/image" Target="media/image12.png"/><Relationship Id="rId6" Type="http://schemas.openxmlformats.org/officeDocument/2006/relationships/image" Target="media/image17.png"/><Relationship Id="rId5" Type="http://schemas.openxmlformats.org/officeDocument/2006/relationships/image" Target="media/image16.png"/><Relationship Id="rId4" Type="http://schemas.openxmlformats.org/officeDocument/2006/relationships/image" Target="media/image15.png"/><Relationship Id="rId9" Type="http://schemas.openxmlformats.org/officeDocument/2006/relationships/image" Target="media/image19.png"/></Relationships>
</file>

<file path=word/_rels/header2.xml.rels><?xml version="1.0" encoding="UTF-8" standalone="yes"?>
<Relationships xmlns="http://schemas.openxmlformats.org/package/2006/relationships"><Relationship Id="rId8" Type="http://schemas.openxmlformats.org/officeDocument/2006/relationships/image" Target="media/image18.png"/><Relationship Id="rId3" Type="http://schemas.openxmlformats.org/officeDocument/2006/relationships/image" Target="media/image14.png"/><Relationship Id="rId7" Type="http://schemas.openxmlformats.org/officeDocument/2006/relationships/image" Target="media/image5.png"/><Relationship Id="rId2" Type="http://schemas.openxmlformats.org/officeDocument/2006/relationships/image" Target="media/image13.png"/><Relationship Id="rId1" Type="http://schemas.openxmlformats.org/officeDocument/2006/relationships/image" Target="media/image12.png"/><Relationship Id="rId6" Type="http://schemas.openxmlformats.org/officeDocument/2006/relationships/image" Target="media/image17.png"/><Relationship Id="rId5" Type="http://schemas.openxmlformats.org/officeDocument/2006/relationships/image" Target="media/image16.png"/><Relationship Id="rId4" Type="http://schemas.openxmlformats.org/officeDocument/2006/relationships/image" Target="media/image15.png"/><Relationship Id="rId9" Type="http://schemas.openxmlformats.org/officeDocument/2006/relationships/image" Target="media/image19.png"/></Relationships>
</file>

<file path=word/_rels/header4.xml.rels><?xml version="1.0" encoding="UTF-8" standalone="yes"?>
<Relationships xmlns="http://schemas.openxmlformats.org/package/2006/relationships"><Relationship Id="rId8" Type="http://schemas.openxmlformats.org/officeDocument/2006/relationships/image" Target="media/image18.png"/><Relationship Id="rId3" Type="http://schemas.openxmlformats.org/officeDocument/2006/relationships/image" Target="media/image15.png"/><Relationship Id="rId7" Type="http://schemas.openxmlformats.org/officeDocument/2006/relationships/image" Target="media/image12.png"/><Relationship Id="rId2" Type="http://schemas.openxmlformats.org/officeDocument/2006/relationships/image" Target="media/image14.png"/><Relationship Id="rId1" Type="http://schemas.openxmlformats.org/officeDocument/2006/relationships/image" Target="media/image13.png"/><Relationship Id="rId6" Type="http://schemas.openxmlformats.org/officeDocument/2006/relationships/image" Target="media/image16.png"/><Relationship Id="rId5" Type="http://schemas.openxmlformats.org/officeDocument/2006/relationships/image" Target="media/image5.png"/><Relationship Id="rId4" Type="http://schemas.openxmlformats.org/officeDocument/2006/relationships/image" Target="media/image17.png"/><Relationship Id="rId9" Type="http://schemas.openxmlformats.org/officeDocument/2006/relationships/image" Target="media/image19.png"/></Relationships>
</file>

<file path=word/_rels/header5.xml.rels><?xml version="1.0" encoding="UTF-8" standalone="yes"?>
<Relationships xmlns="http://schemas.openxmlformats.org/package/2006/relationships"><Relationship Id="rId8" Type="http://schemas.openxmlformats.org/officeDocument/2006/relationships/image" Target="media/image18.png"/><Relationship Id="rId3" Type="http://schemas.openxmlformats.org/officeDocument/2006/relationships/image" Target="media/image14.png"/><Relationship Id="rId7" Type="http://schemas.openxmlformats.org/officeDocument/2006/relationships/image" Target="media/image5.png"/><Relationship Id="rId2" Type="http://schemas.openxmlformats.org/officeDocument/2006/relationships/image" Target="media/image13.png"/><Relationship Id="rId1" Type="http://schemas.openxmlformats.org/officeDocument/2006/relationships/image" Target="media/image12.png"/><Relationship Id="rId6" Type="http://schemas.openxmlformats.org/officeDocument/2006/relationships/image" Target="media/image17.png"/><Relationship Id="rId5" Type="http://schemas.openxmlformats.org/officeDocument/2006/relationships/image" Target="media/image16.png"/><Relationship Id="rId4" Type="http://schemas.openxmlformats.org/officeDocument/2006/relationships/image" Target="media/image15.png"/><Relationship Id="rId9" Type="http://schemas.openxmlformats.org/officeDocument/2006/relationships/image" Target="media/image19.png"/></Relationships>
</file>

<file path=word/_rels/header6.xml.rels><?xml version="1.0" encoding="UTF-8" standalone="yes"?>
<Relationships xmlns="http://schemas.openxmlformats.org/package/2006/relationships"><Relationship Id="rId8" Type="http://schemas.openxmlformats.org/officeDocument/2006/relationships/image" Target="media/image18.png"/><Relationship Id="rId3" Type="http://schemas.openxmlformats.org/officeDocument/2006/relationships/image" Target="media/image15.png"/><Relationship Id="rId7" Type="http://schemas.openxmlformats.org/officeDocument/2006/relationships/image" Target="media/image12.png"/><Relationship Id="rId2" Type="http://schemas.openxmlformats.org/officeDocument/2006/relationships/image" Target="media/image14.png"/><Relationship Id="rId1" Type="http://schemas.openxmlformats.org/officeDocument/2006/relationships/image" Target="media/image13.png"/><Relationship Id="rId6" Type="http://schemas.openxmlformats.org/officeDocument/2006/relationships/image" Target="media/image16.png"/><Relationship Id="rId5" Type="http://schemas.openxmlformats.org/officeDocument/2006/relationships/image" Target="media/image5.png"/><Relationship Id="rId4" Type="http://schemas.openxmlformats.org/officeDocument/2006/relationships/image" Target="media/image17.png"/><Relationship Id="rId9" Type="http://schemas.openxmlformats.org/officeDocument/2006/relationships/image" Target="media/image19.png"/></Relationships>
</file>

<file path=word/_rels/header7.xml.rels><?xml version="1.0" encoding="UTF-8" standalone="yes"?>
<Relationships xmlns="http://schemas.openxmlformats.org/package/2006/relationships"><Relationship Id="rId8" Type="http://schemas.openxmlformats.org/officeDocument/2006/relationships/image" Target="media/image18.png"/><Relationship Id="rId3" Type="http://schemas.openxmlformats.org/officeDocument/2006/relationships/image" Target="media/image15.png"/><Relationship Id="rId7" Type="http://schemas.openxmlformats.org/officeDocument/2006/relationships/image" Target="media/image12.png"/><Relationship Id="rId2" Type="http://schemas.openxmlformats.org/officeDocument/2006/relationships/image" Target="media/image14.png"/><Relationship Id="rId1" Type="http://schemas.openxmlformats.org/officeDocument/2006/relationships/image" Target="media/image13.png"/><Relationship Id="rId6" Type="http://schemas.openxmlformats.org/officeDocument/2006/relationships/image" Target="media/image16.png"/><Relationship Id="rId5" Type="http://schemas.openxmlformats.org/officeDocument/2006/relationships/image" Target="media/image5.png"/><Relationship Id="rId4" Type="http://schemas.openxmlformats.org/officeDocument/2006/relationships/image" Target="media/image17.png"/><Relationship Id="rId9" Type="http://schemas.openxmlformats.org/officeDocument/2006/relationships/image" Target="media/image19.png"/></Relationships>
</file>

<file path=word/_rels/header8.xml.rels><?xml version="1.0" encoding="UTF-8" standalone="yes"?>
<Relationships xmlns="http://schemas.openxmlformats.org/package/2006/relationships"><Relationship Id="rId8" Type="http://schemas.openxmlformats.org/officeDocument/2006/relationships/image" Target="media/image18.png"/><Relationship Id="rId3" Type="http://schemas.openxmlformats.org/officeDocument/2006/relationships/image" Target="media/image15.png"/><Relationship Id="rId7" Type="http://schemas.openxmlformats.org/officeDocument/2006/relationships/image" Target="media/image12.png"/><Relationship Id="rId2" Type="http://schemas.openxmlformats.org/officeDocument/2006/relationships/image" Target="media/image14.png"/><Relationship Id="rId1" Type="http://schemas.openxmlformats.org/officeDocument/2006/relationships/image" Target="media/image13.png"/><Relationship Id="rId6" Type="http://schemas.openxmlformats.org/officeDocument/2006/relationships/image" Target="media/image16.png"/><Relationship Id="rId5" Type="http://schemas.openxmlformats.org/officeDocument/2006/relationships/image" Target="media/image5.png"/><Relationship Id="rId4" Type="http://schemas.openxmlformats.org/officeDocument/2006/relationships/image" Target="media/image17.png"/><Relationship Id="rId9" Type="http://schemas.openxmlformats.org/officeDocument/2006/relationships/image" Target="media/image19.png"/></Relationships>
</file>

<file path=word/_rels/header9.xml.rels><?xml version="1.0" encoding="UTF-8" standalone="yes"?>
<Relationships xmlns="http://schemas.openxmlformats.org/package/2006/relationships"><Relationship Id="rId8" Type="http://schemas.openxmlformats.org/officeDocument/2006/relationships/image" Target="media/image18.png"/><Relationship Id="rId3" Type="http://schemas.openxmlformats.org/officeDocument/2006/relationships/image" Target="media/image14.png"/><Relationship Id="rId7" Type="http://schemas.openxmlformats.org/officeDocument/2006/relationships/image" Target="media/image5.png"/><Relationship Id="rId2" Type="http://schemas.openxmlformats.org/officeDocument/2006/relationships/image" Target="media/image13.png"/><Relationship Id="rId1" Type="http://schemas.openxmlformats.org/officeDocument/2006/relationships/image" Target="media/image12.png"/><Relationship Id="rId6" Type="http://schemas.openxmlformats.org/officeDocument/2006/relationships/image" Target="media/image17.png"/><Relationship Id="rId5" Type="http://schemas.openxmlformats.org/officeDocument/2006/relationships/image" Target="media/image16.png"/><Relationship Id="rId4" Type="http://schemas.openxmlformats.org/officeDocument/2006/relationships/image" Target="media/image15.png"/><Relationship Id="rId9" Type="http://schemas.openxmlformats.org/officeDocument/2006/relationships/image" Target="media/image19.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C:\Users\281609\OneDrive%20-%20London%20Borough%20of%20Croydon\Documents\Documents%20-%20Main\EF%20Work\1_WORKFILES_SCIO_Corporate\Borough%20Profile\REFRESH_2019\Borough%20Profile%20-EF%20Revision%202019_MASTER%20TEMPLATE.xlsx"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REFRESH_2018_2019\Borough%20Profile%20-EF%20Revision%202019_MASTER%20TEMPLATE.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281609\OneDrive%20-%20London%20Borough%20of%20Croydon\Documents\Documents%20-%20Main\EF%20Work\1_WORKFILES_SCIO_Corporate\Borough%20Profile\REFRESH_2019\Borough%20Profile%20-EF%20Revision%202019_MASTER%20TEMPLATE.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file:///C:\Users\281609\OneDrive%20-%20London%20Borough%20of%20Croydon\Documents\Documents%20-%20Main\EF%20Work\1_WORKFILES_SCIO_Corporate\Econ.%20Bulletin(Anesa)\EF_EconomicAssessment%20Bulletin.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file:///C:\Users\281609\OneDrive%20-%20London%20Borough%20of%20Croydon\Documents\Documents%20-%20Main\EF%20Work\1_WORKFILES_SCIO_Corporate\Borough%20Profile\REFRESH_2019\Borough%20Profile%20-EF%20Revision%202019_MASTER%20TEMPLATE.xlsx" TargetMode="External"/></Relationships>
</file>

<file path=word/charts/_rels/chart16.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C:\Users\281609\OneDrive%20-%20London%20Borough%20of%20Croydon\Documents\Documents%20-%20Main\EF%20Work\1_WORKFILES_SCIO_Corporate\Borough%20Profile\REFRESH_2019\Borough%20Profile%20-EF%20Revision%202019_MASTER%20TEMPLATE.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C:\Users\281609\OneDrive%20-%20London%20Borough%20of%20Croydon\Documents\Documents%20-%20Main\EF%20Work\1_WORKFILES_SCIO_Corporate\Borough%20Profile\REFRESH_2019\Borough%20Profile%20-EF%20Revision%202019_MASTER%20TEMPLATE.xlsx" TargetMode="External"/></Relationships>
</file>

<file path=word/charts/_rels/chart19.xml.rels><?xml version="1.0" encoding="UTF-8" standalone="yes"?>
<Relationships xmlns="http://schemas.openxmlformats.org/package/2006/relationships"><Relationship Id="rId2" Type="http://schemas.openxmlformats.org/officeDocument/2006/relationships/oleObject" Target="file:///C:\Users\281609\OneDrive%20-%20London%20Borough%20of%20Croydon\Documents\Documents%20-%20Main\EF%20Work\1_WORKFILES_SCIO_Corporate\Borough%20Profile\REFRESH_2019\Borough%20Profile%20-EF%20Revision%202019_MASTER%20TEMPLATE.xlsx" TargetMode="External"/><Relationship Id="rId1" Type="http://schemas.openxmlformats.org/officeDocument/2006/relationships/themeOverride" Target="../theme/themeOverride15.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281609\OneDrive%20-%20London%20Borough%20of%20Croydon\Documents\Documents%20-%20Main\EF%20Work\1_WORKFILES_SCIO_Corporate\Borough%20Profile\REFRESH_2019\Borough%20Profile%20-EF%20Revision%202019_MASTER%20TEMPLATE.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C:\Users\281609\OneDrive%20-%20London%20Borough%20of%20Croydon\Documents\Documents%20-%20Main\EF%20Work\1_WORKFILES_SCIO_Corporate\Borough%20Profile\REFRESH_2019\Borough%20Profile%20-EF%20Revision%202019_MASTER%20TEMPLATE.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C:\Users\281609\OneDrive%20-%20London%20Borough%20of%20Croydon\Documents\Documents%20-%20Main\EF%20Work\1_WORKFILES_SCIO_Corporate\Borough%20Profile\REFRESH_2019\Borough%20Profile%20-EF%20Revision%202019_MASTER%20TEMPLATE.xlsx" TargetMode="Externa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C:\Users\281609\OneDrive%20-%20London%20Borough%20of%20Croydon\Documents\Documents%20-%20Main\EF%20Work\1_WORKFILES_SCIO_Corporate\Borough%20Profile\REFRESH_2018_2019\Borough%20Profile%20-EF%20Revision%202019_MASTER%20TEMPLATE.xlsx" TargetMode="External"/></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C:\Users\281609\OneDrive%20-%20London%20Borough%20of%20Croydon\Documents\Documents%20-%20Main\EF%20Work\1_WORKFILES_SCIO_Corporate\Borough%20Profile\REFRESH_2018_2019\Borough%20Profile%20-EF%20Revision%202019_MASTER%20TEMPLATE.xlsx" TargetMode="Externa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file:///C:\Users\281609\OneDrive%20-%20London%20Borough%20of%20Croydon\Documents\Documents%20-%20Main\EF%20Work\1_WORKFILES_SCIO_Corporate\Borough%20Profile\REFRESH_2018_2019\Borough%20Profile%20-EF%20Revision%202019_MASTER%20TEMPLATE.xlsx" TargetMode="External"/></Relationships>
</file>

<file path=word/charts/_rels/chart25.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23.xml"/><Relationship Id="rId1" Type="http://schemas.microsoft.com/office/2011/relationships/chartStyle" Target="style23.xml"/></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package" Target="../embeddings/Microsoft_Excel_Worksheet1.xlsx"/></Relationships>
</file>

<file path=word/charts/_rels/chart27.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25.xml"/><Relationship Id="rId1" Type="http://schemas.microsoft.com/office/2011/relationships/chartStyle" Target="style25.xml"/></Relationships>
</file>

<file path=word/charts/_rels/chart28.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s>
</file>

<file path=word/charts/_rels/chart29.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http://im.croydon.net/services/SCPP-StratPerf/Intelligence/Demographicsandequalities/Data%20catalogue%20-%20Census_2011%20-%20Borough%20Profile.xlsx" TargetMode="External"/><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28.xml"/><Relationship Id="rId1" Type="http://schemas.microsoft.com/office/2011/relationships/chartStyle" Target="style28.xml"/></Relationships>
</file>

<file path=word/charts/_rels/chart31.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29.xml"/><Relationship Id="rId1" Type="http://schemas.microsoft.com/office/2011/relationships/chartStyle" Target="style29.xml"/></Relationships>
</file>

<file path=word/charts/_rels/chart32.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30.xml"/><Relationship Id="rId1" Type="http://schemas.microsoft.com/office/2011/relationships/chartStyle" Target="style30.xml"/></Relationships>
</file>

<file path=word/charts/_rels/chart33.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31.xml"/><Relationship Id="rId1" Type="http://schemas.microsoft.com/office/2011/relationships/chartStyle" Target="style31.xml"/></Relationships>
</file>

<file path=word/charts/_rels/chart34.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32.xml"/><Relationship Id="rId1" Type="http://schemas.microsoft.com/office/2011/relationships/chartStyle" Target="style32.xml"/></Relationships>
</file>

<file path=word/charts/_rels/chart35.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33.xml"/><Relationship Id="rId1" Type="http://schemas.microsoft.com/office/2011/relationships/chartStyle" Target="style33.xml"/></Relationships>
</file>

<file path=word/charts/_rels/chart36.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34.xml"/><Relationship Id="rId1" Type="http://schemas.microsoft.com/office/2011/relationships/chartStyle" Target="style34.xml"/></Relationships>
</file>

<file path=word/charts/_rels/chart37.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35.xml"/><Relationship Id="rId1" Type="http://schemas.microsoft.com/office/2011/relationships/chartStyle" Target="style35.xml"/></Relationships>
</file>

<file path=word/charts/_rels/chart38.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36.xml"/><Relationship Id="rId1" Type="http://schemas.microsoft.com/office/2011/relationships/chartStyle" Target="style36.xml"/></Relationships>
</file>

<file path=word/charts/_rels/chart39.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37.xml"/><Relationship Id="rId1" Type="http://schemas.microsoft.com/office/2011/relationships/chartStyle" Target="style37.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1.xml"/><Relationship Id="rId4" Type="http://schemas.openxmlformats.org/officeDocument/2006/relationships/oleObject" Target="file:///C:\Users\281609\OneDrive%20-%20London%20Borough%20of%20Croydon\Documents\Documents%20-%20Main\EF%20Work\1_WORKFILES_SCIO_Corporate\Borough%20Profile\REFRESH_2019\Borough%20Profile%20-EF%20Revision%202019_MASTER%20TEMPLATE.xlsx" TargetMode="External"/></Relationships>
</file>

<file path=word/charts/_rels/chart40.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38.xml"/><Relationship Id="rId1" Type="http://schemas.microsoft.com/office/2011/relationships/chartStyle" Target="style38.xml"/></Relationships>
</file>

<file path=word/charts/_rels/chart41.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39.xml"/><Relationship Id="rId1" Type="http://schemas.microsoft.com/office/2011/relationships/chartStyle" Target="style39.xml"/><Relationship Id="rId4" Type="http://schemas.openxmlformats.org/officeDocument/2006/relationships/oleObject" Target="file:///C:\Users\281609\OneDrive%20-%20London%20Borough%20of%20Croydon\Documents\Documents%20-%20Main\EF%20Work\1_WORKFILES_SCIO_Corporate\Borough%20Profile\REFRESH_2019\Borough%20Profile%20-EF%20Revision%202019_MASTER%20TEMPLATE.xlsx" TargetMode="External"/></Relationships>
</file>

<file path=word/charts/_rels/chart42.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40.xml"/><Relationship Id="rId1" Type="http://schemas.microsoft.com/office/2011/relationships/chartStyle" Target="style40.xml"/></Relationships>
</file>

<file path=word/charts/_rels/chart43.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41.xml"/><Relationship Id="rId1" Type="http://schemas.microsoft.com/office/2011/relationships/chartStyle" Target="style41.xml"/><Relationship Id="rId4"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s>
</file>

<file path=word/charts/_rels/chart44.xml.rels><?xml version="1.0" encoding="UTF-8" standalone="yes"?>
<Relationships xmlns="http://schemas.openxmlformats.org/package/2006/relationships"><Relationship Id="rId3" Type="http://schemas.openxmlformats.org/officeDocument/2006/relationships/themeOverride" Target="../theme/themeOverride26.xml"/><Relationship Id="rId2" Type="http://schemas.microsoft.com/office/2011/relationships/chartColorStyle" Target="colors42.xml"/><Relationship Id="rId1" Type="http://schemas.microsoft.com/office/2011/relationships/chartStyle" Target="style42.xml"/><Relationship Id="rId4" Type="http://schemas.openxmlformats.org/officeDocument/2006/relationships/package" Target="../embeddings/Microsoft_Excel_Worksheet2.xlsx"/></Relationships>
</file>

<file path=word/charts/_rels/chart45.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43.xml"/><Relationship Id="rId1" Type="http://schemas.microsoft.com/office/2011/relationships/chartStyle" Target="style43.xml"/></Relationships>
</file>

<file path=word/charts/_rels/chart46.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44.xml"/><Relationship Id="rId1" Type="http://schemas.microsoft.com/office/2011/relationships/chartStyle" Target="style44.xml"/></Relationships>
</file>

<file path=word/charts/_rels/chart47.xml.rels><?xml version="1.0" encoding="UTF-8" standalone="yes"?>
<Relationships xmlns="http://schemas.openxmlformats.org/package/2006/relationships"><Relationship Id="rId3" Type="http://schemas.openxmlformats.org/officeDocument/2006/relationships/themeOverride" Target="../theme/themeOverride27.xml"/><Relationship Id="rId2" Type="http://schemas.microsoft.com/office/2011/relationships/chartColorStyle" Target="colors45.xml"/><Relationship Id="rId1" Type="http://schemas.microsoft.com/office/2011/relationships/chartStyle" Target="style45.xml"/><Relationship Id="rId4"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s>
</file>

<file path=word/charts/_rels/chart48.xml.rels><?xml version="1.0" encoding="UTF-8" standalone="yes"?>
<Relationships xmlns="http://schemas.openxmlformats.org/package/2006/relationships"><Relationship Id="rId3" Type="http://schemas.openxmlformats.org/officeDocument/2006/relationships/themeOverride" Target="../theme/themeOverride28.xml"/><Relationship Id="rId2" Type="http://schemas.microsoft.com/office/2011/relationships/chartColorStyle" Target="colors46.xml"/><Relationship Id="rId1" Type="http://schemas.microsoft.com/office/2011/relationships/chartStyle" Target="style46.xml"/><Relationship Id="rId4"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s>
</file>

<file path=word/charts/_rels/chart49.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47.xml"/><Relationship Id="rId1" Type="http://schemas.microsoft.com/office/2011/relationships/chartStyle" Target="style47.xm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4.xml"/><Relationship Id="rId1" Type="http://schemas.microsoft.com/office/2011/relationships/chartStyle" Target="style4.xml"/><Relationship Id="rId5" Type="http://schemas.openxmlformats.org/officeDocument/2006/relationships/chartUserShapes" Target="../drawings/drawing2.xml"/><Relationship Id="rId4" Type="http://schemas.openxmlformats.org/officeDocument/2006/relationships/oleObject" Target="file:///C:\Users\281609\OneDrive%20-%20London%20Borough%20of%20Croydon\Documents\Documents%20-%20Main\EF%20Work\1_WORKFILES_SCIO_Corporate\Borough%20Profile\REFRESH_2019\Borough%20Profile%20-EF%20Revision%202019_MASTER%20TEMPLATE.xlsx" TargetMode="External"/></Relationships>
</file>

<file path=word/charts/_rels/chart50.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REFRESH_2018_2019\Borough%20Profile%20-EF%20Revision%202019_MASTER%20TEMPLATE.xlsx" TargetMode="External"/><Relationship Id="rId2" Type="http://schemas.microsoft.com/office/2011/relationships/chartColorStyle" Target="colors48.xml"/><Relationship Id="rId1" Type="http://schemas.microsoft.com/office/2011/relationships/chartStyle" Target="style48.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9.xml"/><Relationship Id="rId1" Type="http://schemas.microsoft.com/office/2011/relationships/chartStyle" Target="style49.xml"/></Relationships>
</file>

<file path=word/charts/_rels/chart52.xml.rels><?xml version="1.0" encoding="UTF-8" standalone="yes"?>
<Relationships xmlns="http://schemas.openxmlformats.org/package/2006/relationships"><Relationship Id="rId2" Type="http://schemas.openxmlformats.org/officeDocument/2006/relationships/oleObject" Target="file:///C:\Users\281609\OneDrive%20-%20London%20Borough%20of%20Croydon\Documents\Documents%20-%20Main\EF%20Work\1_WORKFILES_SCIO_Corporate\Borough%20Profile\REFRESH_2018_2019\Borough%20Profile%20-EF%20Revision%202019_MASTER%20TEMPLATE.xlsx" TargetMode="External"/><Relationship Id="rId1" Type="http://schemas.openxmlformats.org/officeDocument/2006/relationships/themeOverride" Target="../theme/themeOverride29.xml"/></Relationships>
</file>

<file path=word/charts/_rels/chart53.xml.rels><?xml version="1.0" encoding="UTF-8" standalone="yes"?>
<Relationships xmlns="http://schemas.openxmlformats.org/package/2006/relationships"><Relationship Id="rId2" Type="http://schemas.openxmlformats.org/officeDocument/2006/relationships/oleObject" Target="file:///C:\Users\281609\OneDrive%20-%20London%20Borough%20of%20Croydon\Documents\Documents%20-%20Main\EF%20Work\1_WORKFILES_SCIO_Corporate\Borough%20Profile\REFRESH_2018_2019\Borough%20Profile%20-EF%20Revision%202019_MASTER%20TEMPLATE.xlsx" TargetMode="External"/><Relationship Id="rId1" Type="http://schemas.openxmlformats.org/officeDocument/2006/relationships/themeOverride" Target="../theme/themeOverride30.xml"/></Relationships>
</file>

<file path=word/charts/_rels/chart54.xml.rels><?xml version="1.0" encoding="UTF-8" standalone="yes"?>
<Relationships xmlns="http://schemas.openxmlformats.org/package/2006/relationships"><Relationship Id="rId2" Type="http://schemas.openxmlformats.org/officeDocument/2006/relationships/oleObject" Target="file:///C:\Users\281609\OneDrive%20-%20London%20Borough%20of%20Croydon\Documents\Documents%20-%20Main\EF%20Work\1_WORKFILES_SCIO_Corporate\Borough%20Profile\REFRESH_2018_2019\Borough%20Profile%20-EF%20Revision%202019_MASTER%20TEMPLATE.xlsx" TargetMode="External"/><Relationship Id="rId1" Type="http://schemas.openxmlformats.org/officeDocument/2006/relationships/themeOverride" Target="../theme/themeOverride31.xml"/></Relationships>
</file>

<file path=word/charts/_rels/chart55.xml.rels><?xml version="1.0" encoding="UTF-8" standalone="yes"?>
<Relationships xmlns="http://schemas.openxmlformats.org/package/2006/relationships"><Relationship Id="rId2" Type="http://schemas.openxmlformats.org/officeDocument/2006/relationships/oleObject" Target="file:///C:\Users\281609\OneDrive%20-%20London%20Borough%20of%20Croydon\Documents\Documents%20-%20Main\EF%20Work\1_WORKFILES_SCIO_Corporate\Borough%20Profile\REFRESH_2018_2019\Borough%20Profile%20-EF%20Revision%202019_MASTER%20TEMPLATE.xlsx" TargetMode="External"/><Relationship Id="rId1" Type="http://schemas.openxmlformats.org/officeDocument/2006/relationships/themeOverride" Target="../theme/themeOverride32.xml"/></Relationships>
</file>

<file path=word/charts/_rels/chart56.xml.rels><?xml version="1.0" encoding="UTF-8" standalone="yes"?>
<Relationships xmlns="http://schemas.openxmlformats.org/package/2006/relationships"><Relationship Id="rId2" Type="http://schemas.openxmlformats.org/officeDocument/2006/relationships/oleObject" Target="file:///C:\Users\281609\OneDrive%20-%20London%20Borough%20of%20Croydon\Documents\Documents%20-%20Main\EF%20Work\1_WORKFILES_SCIO_Corporate\Borough%20Profile\REFRESH_2018_2019\Borough%20Profile%20-EF%20Revision%202019_MASTER%20TEMPLATE.xlsx" TargetMode="External"/><Relationship Id="rId1" Type="http://schemas.openxmlformats.org/officeDocument/2006/relationships/themeOverride" Target="../theme/themeOverride33.xml"/></Relationships>
</file>

<file path=word/charts/_rels/chart57.xml.rels><?xml version="1.0" encoding="UTF-8" standalone="yes"?>
<Relationships xmlns="http://schemas.openxmlformats.org/package/2006/relationships"><Relationship Id="rId2" Type="http://schemas.openxmlformats.org/officeDocument/2006/relationships/oleObject" Target="file:///C:\Users\281609\OneDrive%20-%20London%20Borough%20of%20Croydon\Documents\Documents%20-%20Main\EF%20Work\1_WORKFILES_SCIO_Corporate\Borough%20Profile\REFRESH_2018_2019\Borough%20Profile%20-EF%20Revision%202019_MASTER%20TEMPLATE.xlsx" TargetMode="External"/><Relationship Id="rId1" Type="http://schemas.openxmlformats.org/officeDocument/2006/relationships/themeOverride" Target="../theme/themeOverride34.xml"/></Relationships>
</file>

<file path=word/charts/_rels/chart58.xml.rels><?xml version="1.0" encoding="UTF-8" standalone="yes"?>
<Relationships xmlns="http://schemas.openxmlformats.org/package/2006/relationships"><Relationship Id="rId2"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1" Type="http://schemas.openxmlformats.org/officeDocument/2006/relationships/themeOverride" Target="../theme/themeOverride35.xml"/></Relationships>
</file>

<file path=word/charts/_rels/chart59.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REFRESH_2018_2019\Borough%20Profile%20-EF%20Revision%202019_MASTER%20TEMPLATE.xlsx" TargetMode="External"/><Relationship Id="rId2" Type="http://schemas.microsoft.com/office/2011/relationships/chartColorStyle" Target="colors50.xml"/><Relationship Id="rId1" Type="http://schemas.microsoft.com/office/2011/relationships/chartStyle" Target="style50.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5.xml"/><Relationship Id="rId1" Type="http://schemas.microsoft.com/office/2011/relationships/chartStyle" Target="style5.xml"/><Relationship Id="rId5" Type="http://schemas.openxmlformats.org/officeDocument/2006/relationships/chartUserShapes" Target="../drawings/drawing3.xml"/><Relationship Id="rId4" Type="http://schemas.openxmlformats.org/officeDocument/2006/relationships/oleObject" Target="file:///C:\Users\281609\OneDrive%20-%20London%20Borough%20of%20Croydon\Documents\Documents%20-%20Main\EF%20Work\1_WORKFILES_SCIO_Corporate\Borough%20Profile\REFRESH_2019\Borough%20Profile%20-EF%20Revision%202019_MASTER%20TEMPLATE.xlsx" TargetMode="External"/></Relationships>
</file>

<file path=word/charts/_rels/chart60.xml.rels><?xml version="1.0" encoding="UTF-8" standalone="yes"?>
<Relationships xmlns="http://schemas.openxmlformats.org/package/2006/relationships"><Relationship Id="rId3" Type="http://schemas.openxmlformats.org/officeDocument/2006/relationships/themeOverride" Target="../theme/themeOverride36.xml"/><Relationship Id="rId2" Type="http://schemas.microsoft.com/office/2011/relationships/chartColorStyle" Target="colors51.xml"/><Relationship Id="rId1" Type="http://schemas.microsoft.com/office/2011/relationships/chartStyle" Target="style51.xml"/><Relationship Id="rId4" Type="http://schemas.openxmlformats.org/officeDocument/2006/relationships/oleObject" Target="file:///C:\Users\281609\OneDrive%20-%20London%20Borough%20of%20Croydon\Documents\Documents%20-%20Main\EF%20Work\1_WORKFILES_SCIO_Corporate\Borough%20Profile\REFRESH_2018_2019\Borough%20Profile%20-EF%20Revision%202019_MASTER%20TEMPLATE.xlsx" TargetMode="External"/></Relationships>
</file>

<file path=word/charts/_rels/chart61.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REFRESH_2018_2019\Borough%20Profile%20-EF%20Revision%202019_MASTER%20TEMPLATE.xlsx" TargetMode="External"/><Relationship Id="rId2" Type="http://schemas.microsoft.com/office/2011/relationships/chartColorStyle" Target="colors52.xml"/><Relationship Id="rId1" Type="http://schemas.microsoft.com/office/2011/relationships/chartStyle" Target="style52.xml"/></Relationships>
</file>

<file path=word/charts/_rels/chart62.xml.rels><?xml version="1.0" encoding="UTF-8" standalone="yes"?>
<Relationships xmlns="http://schemas.openxmlformats.org/package/2006/relationships"><Relationship Id="rId3" Type="http://schemas.openxmlformats.org/officeDocument/2006/relationships/themeOverride" Target="../theme/themeOverride37.xml"/><Relationship Id="rId2" Type="http://schemas.microsoft.com/office/2011/relationships/chartColorStyle" Target="colors53.xml"/><Relationship Id="rId1" Type="http://schemas.microsoft.com/office/2011/relationships/chartStyle" Target="style53.xml"/><Relationship Id="rId4"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s>
</file>

<file path=word/charts/_rels/chart63.xml.rels><?xml version="1.0" encoding="UTF-8" standalone="yes"?>
<Relationships xmlns="http://schemas.openxmlformats.org/package/2006/relationships"><Relationship Id="rId3" Type="http://schemas.openxmlformats.org/officeDocument/2006/relationships/themeOverride" Target="../theme/themeOverride38.xml"/><Relationship Id="rId2" Type="http://schemas.microsoft.com/office/2011/relationships/chartColorStyle" Target="colors54.xml"/><Relationship Id="rId1" Type="http://schemas.microsoft.com/office/2011/relationships/chartStyle" Target="style54.xml"/><Relationship Id="rId4"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s>
</file>

<file path=word/charts/_rels/chart64.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55.xml"/><Relationship Id="rId1" Type="http://schemas.microsoft.com/office/2011/relationships/chartStyle" Target="style55.xml"/></Relationships>
</file>

<file path=word/charts/_rels/chart65.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56.xml"/><Relationship Id="rId1" Type="http://schemas.microsoft.com/office/2011/relationships/chartStyle" Target="style56.xml"/></Relationships>
</file>

<file path=word/charts/_rels/chart66.xml.rels><?xml version="1.0" encoding="UTF-8" standalone="yes"?>
<Relationships xmlns="http://schemas.openxmlformats.org/package/2006/relationships"><Relationship Id="rId3" Type="http://schemas.openxmlformats.org/officeDocument/2006/relationships/themeOverride" Target="../theme/themeOverride39.xml"/><Relationship Id="rId2" Type="http://schemas.microsoft.com/office/2011/relationships/chartColorStyle" Target="colors57.xml"/><Relationship Id="rId1" Type="http://schemas.microsoft.com/office/2011/relationships/chartStyle" Target="style57.xml"/><Relationship Id="rId4"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s>
</file>

<file path=word/charts/_rels/chart67.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8.xml"/><Relationship Id="rId1" Type="http://schemas.microsoft.com/office/2011/relationships/chartStyle" Target="style58.xml"/></Relationships>
</file>

<file path=word/charts/_rels/chart68.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59.xml"/><Relationship Id="rId1" Type="http://schemas.microsoft.com/office/2011/relationships/chartStyle" Target="style59.xml"/></Relationships>
</file>

<file path=word/charts/_rels/chart69.xml.rels><?xml version="1.0" encoding="UTF-8" standalone="yes"?>
<Relationships xmlns="http://schemas.openxmlformats.org/package/2006/relationships"><Relationship Id="rId3"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 Id="rId2" Type="http://schemas.microsoft.com/office/2011/relationships/chartColorStyle" Target="colors60.xml"/><Relationship Id="rId1" Type="http://schemas.microsoft.com/office/2011/relationships/chartStyle" Target="style60.xm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281609\OneDrive%20-%20London%20Borough%20of%20Croydon\Documents\Documents%20-%20Main\EF%20Work\1_WORKFILES_SCIO_Corporate\Borough%20Profile\REFRESH_2018_2019\Borough%20Profile%20-EF%20Revision%202019_MASTER%20TEMPLATE.xlsx" TargetMode="External"/></Relationships>
</file>

<file path=word/charts/_rels/chart70.xml.rels><?xml version="1.0" encoding="UTF-8" standalone="yes"?>
<Relationships xmlns="http://schemas.openxmlformats.org/package/2006/relationships"><Relationship Id="rId3" Type="http://schemas.openxmlformats.org/officeDocument/2006/relationships/themeOverride" Target="../theme/themeOverride40.xml"/><Relationship Id="rId2" Type="http://schemas.microsoft.com/office/2011/relationships/chartColorStyle" Target="colors61.xml"/><Relationship Id="rId1" Type="http://schemas.microsoft.com/office/2011/relationships/chartStyle" Target="style61.xml"/><Relationship Id="rId4" Type="http://schemas.openxmlformats.org/officeDocument/2006/relationships/oleObject" Target="file:///C:\Users\281609\OneDrive%20-%20London%20Borough%20of%20Croydon\Documents\Documents%20-%20Main\EF%20Work\1_WORKFILES_SCIO_Corporate\Borough%20Profile\REFRESH_2018_2019\Borough%20Profile%20-EF%20Revision%202019_MASTER%20TEMPLATE.xlsx" TargetMode="External"/></Relationships>
</file>

<file path=word/charts/_rels/chart71.xml.rels><?xml version="1.0" encoding="UTF-8" standalone="yes"?>
<Relationships xmlns="http://schemas.openxmlformats.org/package/2006/relationships"><Relationship Id="rId2" Type="http://schemas.openxmlformats.org/officeDocument/2006/relationships/oleObject" Target="file:///C:\Users\281609\OneDrive%20-%20London%20Borough%20of%20Croydon\Documents\Documents%20-%20Main\EF%20Work\1_WORKFILES_SCIO_Corporate\Borough%20Profile\ENVIRONMENT\DEFRA_2016_2017_LA_regional_spreadsheet_march_2017rev.xls" TargetMode="External"/><Relationship Id="rId1" Type="http://schemas.openxmlformats.org/officeDocument/2006/relationships/themeOverride" Target="../theme/themeOverride41.xml"/></Relationships>
</file>

<file path=word/charts/_rels/chart72.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42.xml"/></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43.xml"/><Relationship Id="rId2" Type="http://schemas.microsoft.com/office/2011/relationships/chartColorStyle" Target="colors62.xml"/><Relationship Id="rId1" Type="http://schemas.microsoft.com/office/2011/relationships/chartStyle" Target="style62.xml"/><Relationship Id="rId4" Type="http://schemas.openxmlformats.org/officeDocument/2006/relationships/oleObject" Target="file:///C:\Users\281609\OneDrive%20-%20London%20Borough%20of%20Croydon\Documents\Documents%20-%20Main\EF%20Work\1_WORKFILES_SCIO_Corporate\Borough%20Profile\REFRESH_2019\Borough%20Profile%20-EF%20Revision%202019_MASTER%20TEMPLATE.xlsx" TargetMode="External"/></Relationships>
</file>

<file path=word/charts/_rels/chart74.xml.rels><?xml version="1.0" encoding="UTF-8" standalone="yes"?>
<Relationships xmlns="http://schemas.openxmlformats.org/package/2006/relationships"><Relationship Id="rId3" Type="http://schemas.openxmlformats.org/officeDocument/2006/relationships/themeOverride" Target="../theme/themeOverride44.xml"/><Relationship Id="rId2" Type="http://schemas.microsoft.com/office/2011/relationships/chartColorStyle" Target="colors63.xml"/><Relationship Id="rId1" Type="http://schemas.microsoft.com/office/2011/relationships/chartStyle" Target="style63.xml"/><Relationship Id="rId4" Type="http://schemas.openxmlformats.org/officeDocument/2006/relationships/oleObject" Target="file:///C:\Users\281609\OneDrive%20-%20London%20Borough%20of%20Croydon\Documents\Documents%20-%20Main\EF%20Work\1_WORKFILES_SCIO_Corporate\Borough%20Profile\REFRESH_2019\Borough%20Profile%20-EF%20Revision%202019_MASTER%20TEMPLATE.xlsx" TargetMode="External"/></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45.xml"/><Relationship Id="rId2" Type="http://schemas.microsoft.com/office/2011/relationships/chartColorStyle" Target="colors64.xml"/><Relationship Id="rId1" Type="http://schemas.microsoft.com/office/2011/relationships/chartStyle" Target="style64.xml"/><Relationship Id="rId4" Type="http://schemas.openxmlformats.org/officeDocument/2006/relationships/oleObject" Target="file:///C:\Users\281609\OneDrive%20-%20London%20Borough%20of%20Croydon\Documents\Documents%20-%20Main\EF%20Work\1_WORKFILES_SCIO_Corporate\Borough%20Profile\REFRESH_2018_2019\Borough%20Profile%20-EF%20Revision%202019_MASTER%20TEMPLATE.xlsx" TargetMode="External"/></Relationships>
</file>

<file path=word/charts/_rels/chart76.xml.rels><?xml version="1.0" encoding="UTF-8" standalone="yes"?>
<Relationships xmlns="http://schemas.openxmlformats.org/package/2006/relationships"><Relationship Id="rId1" Type="http://schemas.openxmlformats.org/officeDocument/2006/relationships/oleObject" Target="file:///C:\Users\281609\OneDrive%20-%20London%20Borough%20of%20Croydon\Documents\Documents%20-%20Main\EF%20Work\1_WORKFILES_SCIO_Corporate\Borough%20Profile\0_REFRESH_2018_2019\Borough%20Profile%20-EF%20Revision%202019_MASTER%20TEMPLATE.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7.xml"/><Relationship Id="rId1" Type="http://schemas.microsoft.com/office/2011/relationships/chartStyle" Target="style7.xml"/><Relationship Id="rId5" Type="http://schemas.openxmlformats.org/officeDocument/2006/relationships/chartUserShapes" Target="../drawings/drawing4.xml"/><Relationship Id="rId4" Type="http://schemas.openxmlformats.org/officeDocument/2006/relationships/oleObject" Target="file:///C:\Users\281609\OneDrive%20-%20London%20Borough%20of%20Croydon\Documents\Documents%20-%20Main\EF%20Work\1_WORKFILES_SCIO_Corporate\Borough%20Profile\REFRESH_2019\Borough%20Profile%20-EF%20Revision%202019_MASTER%20TEMPLATE.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8.xml"/><Relationship Id="rId1" Type="http://schemas.microsoft.com/office/2011/relationships/chartStyle" Target="style8.xml"/><Relationship Id="rId5" Type="http://schemas.openxmlformats.org/officeDocument/2006/relationships/chartUserShapes" Target="../drawings/drawing5.xml"/><Relationship Id="rId4" Type="http://schemas.openxmlformats.org/officeDocument/2006/relationships/oleObject" Target="file:///C:\Users\281609\OneDrive%20-%20London%20Borough%20of%20Croydon\Documents\Documents%20-%20Main\EF%20Work\1_WORKFILES_SCIO_Corporate\Borough%20Profile\REFRESH_2019\Borough%20Profile%20-EF%20Revision%202019_MASTER%20TEMPLAT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27121085126728"/>
          <c:y val="6.5247959113024542E-2"/>
          <c:w val="0.79620557993631069"/>
          <c:h val="0.79571560907827699"/>
        </c:manualLayout>
      </c:layout>
      <c:lineChart>
        <c:grouping val="stacked"/>
        <c:varyColors val="0"/>
        <c:ser>
          <c:idx val="1"/>
          <c:order val="0"/>
          <c:tx>
            <c:strRef>
              <c:f>'GLA PopPro'!$A$123</c:f>
              <c:strCache>
                <c:ptCount val="1"/>
                <c:pt idx="0">
                  <c:v>Total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dLbls>
            <c:dLbl>
              <c:idx val="0"/>
              <c:layout>
                <c:manualLayout>
                  <c:x val="-4.2478760619690178E-2"/>
                  <c:y val="-4.39648281374900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6.2468765617191453E-2"/>
                  <c:y val="-4.3964828137490045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6.9965017491254458E-2"/>
                  <c:y val="-3.5971223021582774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6.9965017491254375E-2"/>
                  <c:y val="-3.9968025579536368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5.9970014992503748E-2"/>
                  <c:y val="-3.9968025579536368E-2"/>
                </c:manualLayout>
              </c:layout>
              <c:showLegendKey val="0"/>
              <c:showVal val="1"/>
              <c:showCatName val="0"/>
              <c:showSerName val="0"/>
              <c:showPercent val="0"/>
              <c:showBubbleSize val="0"/>
              <c:extLst>
                <c:ext xmlns:c15="http://schemas.microsoft.com/office/drawing/2012/chart" uri="{CE6537A1-D6FC-4f65-9D91-7224C49458BB}"/>
              </c:extLst>
            </c:dLbl>
            <c:dLbl>
              <c:idx val="5"/>
              <c:layout>
                <c:manualLayout>
                  <c:x val="-3.685918882781173E-2"/>
                  <c:y val="-4.562822935399613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'GLA PopPro'!$B$122:$G$122</c:f>
              <c:numCache>
                <c:formatCode>General</c:formatCode>
                <c:ptCount val="6"/>
                <c:pt idx="0">
                  <c:v>2000</c:v>
                </c:pt>
                <c:pt idx="1">
                  <c:v>2010</c:v>
                </c:pt>
                <c:pt idx="2">
                  <c:v>2020</c:v>
                </c:pt>
                <c:pt idx="3">
                  <c:v>2030</c:v>
                </c:pt>
                <c:pt idx="4">
                  <c:v>2040</c:v>
                </c:pt>
                <c:pt idx="5">
                  <c:v>2050</c:v>
                </c:pt>
              </c:numCache>
            </c:numRef>
          </c:cat>
          <c:val>
            <c:numRef>
              <c:f>'GLA PopPro'!$B$123:$G$123</c:f>
              <c:numCache>
                <c:formatCode>#,##0</c:formatCode>
                <c:ptCount val="6"/>
                <c:pt idx="0">
                  <c:v>334200</c:v>
                </c:pt>
                <c:pt idx="1">
                  <c:v>360800</c:v>
                </c:pt>
                <c:pt idx="2">
                  <c:v>398300</c:v>
                </c:pt>
                <c:pt idx="3">
                  <c:v>433800</c:v>
                </c:pt>
                <c:pt idx="4">
                  <c:v>463100</c:v>
                </c:pt>
                <c:pt idx="5">
                  <c:v>484800</c:v>
                </c:pt>
              </c:numCache>
            </c:numRef>
          </c:val>
          <c:smooth val="0"/>
        </c:ser>
        <c:dLbls>
          <c:showLegendKey val="0"/>
          <c:showVal val="0"/>
          <c:showCatName val="0"/>
          <c:showSerName val="0"/>
          <c:showPercent val="0"/>
          <c:showBubbleSize val="0"/>
        </c:dLbls>
        <c:marker val="1"/>
        <c:smooth val="0"/>
        <c:axId val="480884320"/>
        <c:axId val="480884712"/>
      </c:lineChart>
      <c:catAx>
        <c:axId val="480884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80884712"/>
        <c:crosses val="autoZero"/>
        <c:auto val="1"/>
        <c:lblAlgn val="ctr"/>
        <c:lblOffset val="100"/>
        <c:noMultiLvlLbl val="0"/>
      </c:catAx>
      <c:valAx>
        <c:axId val="4808847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480884320"/>
        <c:crosses val="autoZero"/>
        <c:crossBetween val="between"/>
      </c:valAx>
      <c:spPr>
        <a:noFill/>
        <a:ln>
          <a:solidFill>
            <a:sysClr val="windowText" lastClr="000000"/>
          </a:solid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67104111986"/>
          <c:y val="0.1082729960479078"/>
          <c:w val="0.85391198930322387"/>
          <c:h val="0.63338355116635303"/>
        </c:manualLayout>
      </c:layout>
      <c:barChart>
        <c:barDir val="col"/>
        <c:grouping val="clustered"/>
        <c:varyColors val="0"/>
        <c:ser>
          <c:idx val="0"/>
          <c:order val="0"/>
          <c:tx>
            <c:strRef>
              <c:f>'Enterp by Industry'!$E$6</c:f>
              <c:strCache>
                <c:ptCount val="1"/>
                <c:pt idx="0">
                  <c:v>Croydon</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'Enterp by Industry'!$C$7:$C$11</c:f>
              <c:strCache>
                <c:ptCount val="5"/>
                <c:pt idx="0">
                  <c:v>Professional, scientific &amp; technical</c:v>
                </c:pt>
                <c:pt idx="1">
                  <c:v>Construction</c:v>
                </c:pt>
                <c:pt idx="2">
                  <c:v>Information &amp; communication</c:v>
                </c:pt>
                <c:pt idx="3">
                  <c:v>Retail</c:v>
                </c:pt>
                <c:pt idx="4">
                  <c:v>Business administration &amp; support services</c:v>
                </c:pt>
              </c:strCache>
            </c:strRef>
          </c:cat>
          <c:val>
            <c:numRef>
              <c:f>'Enterp by Industry'!$E$7:$E$11</c:f>
              <c:numCache>
                <c:formatCode>0.0%</c:formatCode>
                <c:ptCount val="5"/>
                <c:pt idx="0">
                  <c:v>0.17634667469154378</c:v>
                </c:pt>
                <c:pt idx="1">
                  <c:v>0.13752633162804695</c:v>
                </c:pt>
                <c:pt idx="2">
                  <c:v>0.12217875413782726</c:v>
                </c:pt>
                <c:pt idx="3">
                  <c:v>9.2687330725248276E-2</c:v>
                </c:pt>
                <c:pt idx="4">
                  <c:v>8.6969605777911532E-2</c:v>
                </c:pt>
              </c:numCache>
            </c:numRef>
          </c:val>
        </c:ser>
        <c:dLbls>
          <c:showLegendKey val="0"/>
          <c:showVal val="0"/>
          <c:showCatName val="0"/>
          <c:showSerName val="0"/>
          <c:showPercent val="0"/>
          <c:showBubbleSize val="0"/>
        </c:dLbls>
        <c:gapWidth val="31"/>
        <c:axId val="359789440"/>
        <c:axId val="359788656"/>
      </c:barChart>
      <c:catAx>
        <c:axId val="359789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359788656"/>
        <c:crosses val="autoZero"/>
        <c:auto val="1"/>
        <c:lblAlgn val="ctr"/>
        <c:lblOffset val="100"/>
        <c:noMultiLvlLbl val="0"/>
      </c:catAx>
      <c:valAx>
        <c:axId val="35978865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59789440"/>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55314960629921"/>
          <c:y val="0.19381771357527677"/>
          <c:w val="0.82836746624769353"/>
          <c:h val="0.61968244923331939"/>
        </c:manualLayout>
      </c:layout>
      <c:barChart>
        <c:barDir val="col"/>
        <c:grouping val="clustered"/>
        <c:varyColors val="0"/>
        <c:ser>
          <c:idx val="0"/>
          <c:order val="0"/>
          <c:tx>
            <c:strRef>
              <c:f>Employment!$A$37</c:f>
              <c:strCache>
                <c:ptCount val="1"/>
                <c:pt idx="0">
                  <c:v>Male full-time workers</c:v>
                </c:pt>
              </c:strCache>
            </c:strRef>
          </c:tx>
          <c:spPr>
            <a:solidFill>
              <a:schemeClr val="accent1">
                <a:lumMod val="75000"/>
              </a:schemeClr>
            </a:solidFill>
            <a:ln>
              <a:noFill/>
            </a:ln>
            <a:effectLst/>
          </c:spPr>
          <c:invertIfNegative val="0"/>
          <c:dLbls>
            <c:spPr>
              <a:solidFill>
                <a:srgbClr val="0070C0"/>
              </a:solid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Employment!$B$36:$D$36</c:f>
              <c:strCache>
                <c:ptCount val="3"/>
                <c:pt idx="0">
                  <c:v>Croydon</c:v>
                </c:pt>
                <c:pt idx="1">
                  <c:v>London</c:v>
                </c:pt>
                <c:pt idx="2">
                  <c:v>Great Britain</c:v>
                </c:pt>
              </c:strCache>
            </c:strRef>
          </c:cat>
          <c:val>
            <c:numRef>
              <c:f>Employment!$B$37:$D$37</c:f>
              <c:numCache>
                <c:formatCode>"£"#,##0.00</c:formatCode>
                <c:ptCount val="3"/>
                <c:pt idx="0">
                  <c:v>690.1</c:v>
                </c:pt>
                <c:pt idx="1">
                  <c:v>719.7</c:v>
                </c:pt>
                <c:pt idx="2">
                  <c:v>612.20000000000005</c:v>
                </c:pt>
              </c:numCache>
            </c:numRef>
          </c:val>
        </c:ser>
        <c:ser>
          <c:idx val="1"/>
          <c:order val="1"/>
          <c:tx>
            <c:strRef>
              <c:f>Employment!$A$38</c:f>
              <c:strCache>
                <c:ptCount val="1"/>
                <c:pt idx="0">
                  <c:v>Female full-time workers</c:v>
                </c:pt>
              </c:strCache>
            </c:strRef>
          </c:tx>
          <c:spPr>
            <a:solidFill>
              <a:srgbClr val="C00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Employment!$B$36:$D$36</c:f>
              <c:strCache>
                <c:ptCount val="3"/>
                <c:pt idx="0">
                  <c:v>Croydon</c:v>
                </c:pt>
                <c:pt idx="1">
                  <c:v>London</c:v>
                </c:pt>
                <c:pt idx="2">
                  <c:v>Great Britain</c:v>
                </c:pt>
              </c:strCache>
            </c:strRef>
          </c:cat>
          <c:val>
            <c:numRef>
              <c:f>Employment!$B$38:$D$38</c:f>
              <c:numCache>
                <c:formatCode>"£"#,##0.00</c:formatCode>
                <c:ptCount val="3"/>
                <c:pt idx="0">
                  <c:v>597.4</c:v>
                </c:pt>
                <c:pt idx="1">
                  <c:v>628.70000000000005</c:v>
                </c:pt>
                <c:pt idx="2">
                  <c:v>510</c:v>
                </c:pt>
              </c:numCache>
            </c:numRef>
          </c:val>
        </c:ser>
        <c:ser>
          <c:idx val="2"/>
          <c:order val="2"/>
          <c:tx>
            <c:strRef>
              <c:f>Employment!$A$39</c:f>
              <c:strCache>
                <c:ptCount val="1"/>
                <c:pt idx="0">
                  <c:v>All full-time workers</c:v>
                </c:pt>
              </c:strCache>
            </c:strRef>
          </c:tx>
          <c:spPr>
            <a:solidFill>
              <a:srgbClr val="92D050"/>
            </a:solidFill>
            <a:ln>
              <a:noFill/>
            </a:ln>
            <a:effectLst/>
          </c:spPr>
          <c:invertIfNegative val="0"/>
          <c:dLbls>
            <c:spPr>
              <a:solidFill>
                <a:srgbClr val="92D050"/>
              </a:solid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Employment!$B$36:$D$36</c:f>
              <c:strCache>
                <c:ptCount val="3"/>
                <c:pt idx="0">
                  <c:v>Croydon</c:v>
                </c:pt>
                <c:pt idx="1">
                  <c:v>London</c:v>
                </c:pt>
                <c:pt idx="2">
                  <c:v>Great Britain</c:v>
                </c:pt>
              </c:strCache>
            </c:strRef>
          </c:cat>
          <c:val>
            <c:numRef>
              <c:f>Employment!$B$39:$D$39</c:f>
              <c:numCache>
                <c:formatCode>"£"#,##0.00</c:formatCode>
                <c:ptCount val="3"/>
                <c:pt idx="0">
                  <c:v>654.29999999999995</c:v>
                </c:pt>
                <c:pt idx="1">
                  <c:v>670.8</c:v>
                </c:pt>
                <c:pt idx="2">
                  <c:v>571.1</c:v>
                </c:pt>
              </c:numCache>
            </c:numRef>
          </c:val>
        </c:ser>
        <c:dLbls>
          <c:showLegendKey val="0"/>
          <c:showVal val="0"/>
          <c:showCatName val="0"/>
          <c:showSerName val="0"/>
          <c:showPercent val="0"/>
          <c:showBubbleSize val="0"/>
        </c:dLbls>
        <c:gapWidth val="49"/>
        <c:axId val="359791400"/>
        <c:axId val="359789832"/>
      </c:barChart>
      <c:catAx>
        <c:axId val="359791400"/>
        <c:scaling>
          <c:orientation val="minMax"/>
        </c:scaling>
        <c:delete val="0"/>
        <c:axPos val="b"/>
        <c:numFmt formatCode="General" sourceLinked="1"/>
        <c:majorTickMark val="none"/>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359789832"/>
        <c:crosses val="autoZero"/>
        <c:auto val="1"/>
        <c:lblAlgn val="ctr"/>
        <c:lblOffset val="100"/>
        <c:noMultiLvlLbl val="0"/>
      </c:catAx>
      <c:valAx>
        <c:axId val="359789832"/>
        <c:scaling>
          <c:orientation val="minMax"/>
          <c:max val="1000"/>
        </c:scaling>
        <c:delete val="0"/>
        <c:axPos val="l"/>
        <c:majorGridlines>
          <c:spPr>
            <a:ln w="9525" cap="flat" cmpd="sng" algn="ctr">
              <a:solidFill>
                <a:schemeClr val="tx1">
                  <a:lumMod val="15000"/>
                  <a:lumOff val="85000"/>
                </a:schemeClr>
              </a:solidFill>
              <a:round/>
            </a:ln>
            <a:effectLst/>
          </c:spPr>
        </c:maj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359791400"/>
        <c:crosses val="autoZero"/>
        <c:crossBetween val="between"/>
        <c:majorUnit val="200"/>
      </c:valAx>
      <c:spPr>
        <a:noFill/>
        <a:ln>
          <a:noFill/>
        </a:ln>
        <a:effectLst/>
      </c:spPr>
    </c:plotArea>
    <c:legend>
      <c:legendPos val="b"/>
      <c:layout>
        <c:manualLayout>
          <c:xMode val="edge"/>
          <c:yMode val="edge"/>
          <c:x val="3.4151944754005514E-2"/>
          <c:y val="3.7684639748978746E-2"/>
          <c:w val="0.94640371229698361"/>
          <c:h val="7.429733289917706E-2"/>
        </c:manualLayout>
      </c:layout>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a:latin typeface="Arial" panose="020B0604020202020204" pitchFamily="34" charset="0"/>
          <a:cs typeface="Arial" panose="020B0604020202020204" pitchFamily="34" charset="0"/>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355314960629921"/>
          <c:y val="0.2361111111111111"/>
          <c:w val="0.84866907261592306"/>
          <c:h val="0.64317876932050155"/>
        </c:manualLayout>
      </c:layout>
      <c:barChart>
        <c:barDir val="col"/>
        <c:grouping val="clustered"/>
        <c:varyColors val="0"/>
        <c:ser>
          <c:idx val="0"/>
          <c:order val="0"/>
          <c:tx>
            <c:strRef>
              <c:f>Employment!$A$47</c:f>
              <c:strCache>
                <c:ptCount val="1"/>
                <c:pt idx="0">
                  <c:v>Male full-time workers</c:v>
                </c:pt>
              </c:strCache>
            </c:strRef>
          </c:tx>
          <c:spPr>
            <a:solidFill>
              <a:srgbClr val="0070C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Employment!$B$46:$D$46</c:f>
              <c:strCache>
                <c:ptCount val="3"/>
                <c:pt idx="0">
                  <c:v>Croydon</c:v>
                </c:pt>
                <c:pt idx="1">
                  <c:v>London</c:v>
                </c:pt>
                <c:pt idx="2">
                  <c:v>Great Britain</c:v>
                </c:pt>
              </c:strCache>
            </c:strRef>
          </c:cat>
          <c:val>
            <c:numRef>
              <c:f>Employment!$B$47:$D$47</c:f>
              <c:numCache>
                <c:formatCode>"£"#,##0.00</c:formatCode>
                <c:ptCount val="3"/>
                <c:pt idx="0">
                  <c:v>645.6</c:v>
                </c:pt>
                <c:pt idx="1">
                  <c:v>781.4</c:v>
                </c:pt>
                <c:pt idx="2">
                  <c:v>611.79999999999995</c:v>
                </c:pt>
              </c:numCache>
            </c:numRef>
          </c:val>
        </c:ser>
        <c:ser>
          <c:idx val="1"/>
          <c:order val="1"/>
          <c:tx>
            <c:strRef>
              <c:f>Employment!$A$48</c:f>
              <c:strCache>
                <c:ptCount val="1"/>
                <c:pt idx="0">
                  <c:v>Female full-time workers</c:v>
                </c:pt>
              </c:strCache>
            </c:strRef>
          </c:tx>
          <c:spPr>
            <a:solidFill>
              <a:srgbClr val="C00000"/>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Employment!$B$46:$D$46</c:f>
              <c:strCache>
                <c:ptCount val="3"/>
                <c:pt idx="0">
                  <c:v>Croydon</c:v>
                </c:pt>
                <c:pt idx="1">
                  <c:v>London</c:v>
                </c:pt>
                <c:pt idx="2">
                  <c:v>Great Britain</c:v>
                </c:pt>
              </c:strCache>
            </c:strRef>
          </c:cat>
          <c:val>
            <c:numRef>
              <c:f>Employment!$B$48:$D$48</c:f>
              <c:numCache>
                <c:formatCode>"£"#,##0.00</c:formatCode>
                <c:ptCount val="3"/>
                <c:pt idx="0">
                  <c:v>585.5</c:v>
                </c:pt>
                <c:pt idx="1">
                  <c:v>643.20000000000005</c:v>
                </c:pt>
                <c:pt idx="2">
                  <c:v>509.8</c:v>
                </c:pt>
              </c:numCache>
            </c:numRef>
          </c:val>
        </c:ser>
        <c:ser>
          <c:idx val="2"/>
          <c:order val="2"/>
          <c:tx>
            <c:strRef>
              <c:f>Employment!$A$49</c:f>
              <c:strCache>
                <c:ptCount val="1"/>
                <c:pt idx="0">
                  <c:v>All full-time workers</c:v>
                </c:pt>
              </c:strCache>
            </c:strRef>
          </c:tx>
          <c:spPr>
            <a:solidFill>
              <a:srgbClr val="92D050"/>
            </a:solidFill>
            <a:ln>
              <a:noFill/>
            </a:ln>
            <a:effectLst/>
          </c:spPr>
          <c:invertIfNegative val="0"/>
          <c:dLbls>
            <c:spPr>
              <a:solidFill>
                <a:srgbClr val="92D050"/>
              </a:solid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Employment!$B$46:$D$46</c:f>
              <c:strCache>
                <c:ptCount val="3"/>
                <c:pt idx="0">
                  <c:v>Croydon</c:v>
                </c:pt>
                <c:pt idx="1">
                  <c:v>London</c:v>
                </c:pt>
                <c:pt idx="2">
                  <c:v>Great Britain</c:v>
                </c:pt>
              </c:strCache>
            </c:strRef>
          </c:cat>
          <c:val>
            <c:numRef>
              <c:f>Employment!$B$49:$D$49</c:f>
              <c:numCache>
                <c:formatCode>"£"#,##0.00</c:formatCode>
                <c:ptCount val="3"/>
                <c:pt idx="0">
                  <c:v>615</c:v>
                </c:pt>
                <c:pt idx="1">
                  <c:v>713.2</c:v>
                </c:pt>
                <c:pt idx="2">
                  <c:v>570.9</c:v>
                </c:pt>
              </c:numCache>
            </c:numRef>
          </c:val>
        </c:ser>
        <c:dLbls>
          <c:showLegendKey val="0"/>
          <c:showVal val="0"/>
          <c:showCatName val="0"/>
          <c:showSerName val="0"/>
          <c:showPercent val="0"/>
          <c:showBubbleSize val="0"/>
        </c:dLbls>
        <c:gapWidth val="49"/>
        <c:axId val="359791008"/>
        <c:axId val="359789048"/>
      </c:barChart>
      <c:catAx>
        <c:axId val="359791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359789048"/>
        <c:crosses val="autoZero"/>
        <c:auto val="1"/>
        <c:lblAlgn val="ctr"/>
        <c:lblOffset val="100"/>
        <c:noMultiLvlLbl val="0"/>
      </c:catAx>
      <c:valAx>
        <c:axId val="359789048"/>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359791008"/>
        <c:crosses val="autoZero"/>
        <c:crossBetween val="between"/>
        <c:majorUnit val="200"/>
      </c:valAx>
      <c:spPr>
        <a:noFill/>
        <a:ln>
          <a:noFill/>
        </a:ln>
        <a:effectLst/>
      </c:spPr>
    </c:plotArea>
    <c:legend>
      <c:legendPos val="b"/>
      <c:layout>
        <c:manualLayout>
          <c:xMode val="edge"/>
          <c:yMode val="edge"/>
          <c:x val="5.3896891443071984E-2"/>
          <c:y val="3.2985677436872113E-2"/>
          <c:w val="0.93026634382566598"/>
          <c:h val="8.335173804493950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200">
          <a:latin typeface="Arial" panose="020B0604020202020204" pitchFamily="34" charset="0"/>
          <a:cs typeface="Arial" panose="020B0604020202020204" pitchFamily="34" charset="0"/>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0509137746670548E-2"/>
          <c:y val="0.13943801142504245"/>
          <c:w val="0.89794497909983473"/>
          <c:h val="0.54008337193144973"/>
        </c:manualLayout>
      </c:layout>
      <c:barChart>
        <c:barDir val="col"/>
        <c:grouping val="clustered"/>
        <c:varyColors val="0"/>
        <c:ser>
          <c:idx val="0"/>
          <c:order val="0"/>
          <c:tx>
            <c:strRef>
              <c:f>Employment!$H$62</c:f>
              <c:strCache>
                <c:ptCount val="1"/>
                <c:pt idx="0">
                  <c:v>Croydon (%)</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Employment!$G$63:$G$68</c:f>
              <c:strCache>
                <c:ptCount val="6"/>
                <c:pt idx="0">
                  <c:v>Wholesale and retail trade; repair of motor vehicles and motorcycles</c:v>
                </c:pt>
                <c:pt idx="1">
                  <c:v>Human health and social work activities</c:v>
                </c:pt>
                <c:pt idx="2">
                  <c:v>Education</c:v>
                </c:pt>
                <c:pt idx="3">
                  <c:v>Professional, scientific and technical activities</c:v>
                </c:pt>
                <c:pt idx="4">
                  <c:v>Administrative and support service activities</c:v>
                </c:pt>
                <c:pt idx="5">
                  <c:v>Public administration and defence; compulsory social security</c:v>
                </c:pt>
              </c:strCache>
            </c:strRef>
          </c:cat>
          <c:val>
            <c:numRef>
              <c:f>Employment!$H$63:$H$68</c:f>
              <c:numCache>
                <c:formatCode>General</c:formatCode>
                <c:ptCount val="6"/>
                <c:pt idx="0">
                  <c:v>17.7</c:v>
                </c:pt>
                <c:pt idx="1">
                  <c:v>13.7</c:v>
                </c:pt>
                <c:pt idx="2">
                  <c:v>11.3</c:v>
                </c:pt>
                <c:pt idx="3">
                  <c:v>8.1</c:v>
                </c:pt>
                <c:pt idx="4">
                  <c:v>8.1</c:v>
                </c:pt>
                <c:pt idx="5">
                  <c:v>8.1</c:v>
                </c:pt>
              </c:numCache>
            </c:numRef>
          </c:val>
        </c:ser>
        <c:dLbls>
          <c:showLegendKey val="0"/>
          <c:showVal val="0"/>
          <c:showCatName val="0"/>
          <c:showSerName val="0"/>
          <c:showPercent val="0"/>
          <c:showBubbleSize val="0"/>
        </c:dLbls>
        <c:gapWidth val="18"/>
        <c:axId val="560583832"/>
        <c:axId val="560583440"/>
        <c:extLst>
          <c:ext xmlns:c15="http://schemas.microsoft.com/office/drawing/2012/chart" uri="{02D57815-91ED-43cb-92C2-25804820EDAC}">
            <c15:filteredBarSeries>
              <c15:ser>
                <c:idx val="1"/>
                <c:order val="1"/>
                <c:tx>
                  <c:strRef>
                    <c:extLst>
                      <c:ext uri="{02D57815-91ED-43cb-92C2-25804820EDAC}">
                        <c15:formulaRef>
                          <c15:sqref>Employment!$I$62</c15:sqref>
                        </c15:formulaRef>
                      </c:ext>
                    </c:extLst>
                    <c:strCache>
                      <c:ptCount val="1"/>
                      <c:pt idx="0">
                        <c:v>London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c:ext uri="{02D57815-91ED-43cb-92C2-25804820EDAC}">
                        <c15:formulaRef>
                          <c15:sqref>Employment!$G$63:$G$68</c15:sqref>
                        </c15:formulaRef>
                      </c:ext>
                    </c:extLst>
                    <c:strCache>
                      <c:ptCount val="6"/>
                      <c:pt idx="0">
                        <c:v>Wholesale and retail trade; repair of motor vehicles and motorcycles</c:v>
                      </c:pt>
                      <c:pt idx="1">
                        <c:v>Human health and social work activities</c:v>
                      </c:pt>
                      <c:pt idx="2">
                        <c:v>Education</c:v>
                      </c:pt>
                      <c:pt idx="3">
                        <c:v>Professional, scientific and technical activities</c:v>
                      </c:pt>
                      <c:pt idx="4">
                        <c:v>Administrative and support service activities</c:v>
                      </c:pt>
                      <c:pt idx="5">
                        <c:v>Public administration and defence; compulsory social security</c:v>
                      </c:pt>
                    </c:strCache>
                  </c:strRef>
                </c:cat>
                <c:val>
                  <c:numRef>
                    <c:extLst>
                      <c:ext uri="{02D57815-91ED-43cb-92C2-25804820EDAC}">
                        <c15:formulaRef>
                          <c15:sqref>Employment!$I$63:$I$68</c15:sqref>
                        </c15:formulaRef>
                      </c:ext>
                    </c:extLst>
                    <c:numCache>
                      <c:formatCode>General</c:formatCode>
                      <c:ptCount val="6"/>
                      <c:pt idx="0">
                        <c:v>11.9</c:v>
                      </c:pt>
                      <c:pt idx="1">
                        <c:v>10.6</c:v>
                      </c:pt>
                      <c:pt idx="2">
                        <c:v>7.8</c:v>
                      </c:pt>
                      <c:pt idx="3">
                        <c:v>13.1</c:v>
                      </c:pt>
                      <c:pt idx="4">
                        <c:v>11.2</c:v>
                      </c:pt>
                      <c:pt idx="5">
                        <c:v>4.2</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Employment!$J$62</c15:sqref>
                        </c15:formulaRef>
                      </c:ext>
                    </c:extLst>
                    <c:strCache>
                      <c:ptCount val="1"/>
                      <c:pt idx="0">
                        <c:v>Great Britain(%)</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Employment!$G$63:$G$68</c15:sqref>
                        </c15:formulaRef>
                      </c:ext>
                    </c:extLst>
                    <c:strCache>
                      <c:ptCount val="6"/>
                      <c:pt idx="0">
                        <c:v>Wholesale and retail trade; repair of motor vehicles and motorcycles</c:v>
                      </c:pt>
                      <c:pt idx="1">
                        <c:v>Human health and social work activities</c:v>
                      </c:pt>
                      <c:pt idx="2">
                        <c:v>Education</c:v>
                      </c:pt>
                      <c:pt idx="3">
                        <c:v>Professional, scientific and technical activities</c:v>
                      </c:pt>
                      <c:pt idx="4">
                        <c:v>Administrative and support service activities</c:v>
                      </c:pt>
                      <c:pt idx="5">
                        <c:v>Public administration and defence; compulsory social security</c:v>
                      </c:pt>
                    </c:strCache>
                  </c:strRef>
                </c:cat>
                <c:val>
                  <c:numRef>
                    <c:extLst xmlns:c15="http://schemas.microsoft.com/office/drawing/2012/chart">
                      <c:ext xmlns:c15="http://schemas.microsoft.com/office/drawing/2012/chart" uri="{02D57815-91ED-43cb-92C2-25804820EDAC}">
                        <c15:formulaRef>
                          <c15:sqref>Employment!$J$63:$J$68</c15:sqref>
                        </c15:formulaRef>
                      </c:ext>
                    </c:extLst>
                    <c:numCache>
                      <c:formatCode>General</c:formatCode>
                      <c:ptCount val="6"/>
                      <c:pt idx="0">
                        <c:v>15.2</c:v>
                      </c:pt>
                      <c:pt idx="1">
                        <c:v>13.3</c:v>
                      </c:pt>
                      <c:pt idx="2">
                        <c:v>8.9</c:v>
                      </c:pt>
                      <c:pt idx="3">
                        <c:v>8.4</c:v>
                      </c:pt>
                      <c:pt idx="4">
                        <c:v>9.1</c:v>
                      </c:pt>
                      <c:pt idx="5">
                        <c:v>4.3</c:v>
                      </c:pt>
                    </c:numCache>
                  </c:numRef>
                </c:val>
              </c15:ser>
            </c15:filteredBarSeries>
          </c:ext>
        </c:extLst>
      </c:barChart>
      <c:catAx>
        <c:axId val="560583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60583440"/>
        <c:crosses val="autoZero"/>
        <c:auto val="1"/>
        <c:lblAlgn val="ctr"/>
        <c:lblOffset val="100"/>
        <c:noMultiLvlLbl val="0"/>
      </c:catAx>
      <c:valAx>
        <c:axId val="56058344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60583832"/>
        <c:crosses val="autoZero"/>
        <c:crossBetween val="between"/>
        <c:majorUnit val="20"/>
        <c:minorUnit val="4"/>
      </c:valAx>
      <c:spPr>
        <a:noFill/>
        <a:ln>
          <a:noFill/>
        </a:ln>
        <a:effectLst/>
      </c:spPr>
    </c:plotArea>
    <c:legend>
      <c:legendPos val="b"/>
      <c:layout>
        <c:manualLayout>
          <c:xMode val="edge"/>
          <c:yMode val="edge"/>
          <c:x val="0.13481885603137125"/>
          <c:y val="1.0543023338298929E-2"/>
          <c:w val="0.70658918868187104"/>
          <c:h val="0.1054944115131676"/>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100">
          <a:latin typeface="Arial" panose="020B0604020202020204" pitchFamily="34" charset="0"/>
          <a:cs typeface="Arial" panose="020B0604020202020204" pitchFamily="34" charset="0"/>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9808918932303274"/>
          <c:y val="5.3257744955793558E-2"/>
          <c:w val="0.70191081067696726"/>
          <c:h val="0.47094846839797205"/>
        </c:manualLayout>
      </c:layout>
      <c:barChart>
        <c:barDir val="col"/>
        <c:grouping val="clustered"/>
        <c:varyColors val="0"/>
        <c:ser>
          <c:idx val="0"/>
          <c:order val="0"/>
          <c:tx>
            <c:strRef>
              <c:f>'Low Income'!$B$5</c:f>
              <c:strCache>
                <c:ptCount val="1"/>
                <c:pt idx="0">
                  <c:v>Croydon</c:v>
                </c:pt>
              </c:strCache>
            </c:strRef>
          </c:tx>
          <c:spPr>
            <a:solidFill>
              <a:srgbClr val="7030A0"/>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'Low Income'!$A$6:$A$18</c:f>
              <c:strCache>
                <c:ptCount val="9"/>
                <c:pt idx="0">
                  <c:v>1 Managers, directors and senior officials</c:v>
                </c:pt>
                <c:pt idx="1">
                  <c:v>2 Professional occupations</c:v>
                </c:pt>
                <c:pt idx="2">
                  <c:v>3 Associate professional &amp; technical</c:v>
                </c:pt>
                <c:pt idx="3">
                  <c:v>4 Administrative &amp; secretarial</c:v>
                </c:pt>
                <c:pt idx="4">
                  <c:v>5 Skilled trades occupations</c:v>
                </c:pt>
                <c:pt idx="5">
                  <c:v>6 Caring, leisure and Other Service occupations</c:v>
                </c:pt>
                <c:pt idx="6">
                  <c:v>7 Sales and customer service occs</c:v>
                </c:pt>
                <c:pt idx="7">
                  <c:v>8 Process plant &amp; machine operatives</c:v>
                </c:pt>
                <c:pt idx="8">
                  <c:v>9 Elementary occupations</c:v>
                </c:pt>
              </c:strCache>
            </c:strRef>
          </c:cat>
          <c:val>
            <c:numRef>
              <c:f>'Low Income'!$B$6:$B$18</c:f>
              <c:numCache>
                <c:formatCode>General</c:formatCode>
                <c:ptCount val="9"/>
                <c:pt idx="0">
                  <c:v>12.3</c:v>
                </c:pt>
                <c:pt idx="1">
                  <c:v>21.1</c:v>
                </c:pt>
                <c:pt idx="2">
                  <c:v>14.8</c:v>
                </c:pt>
                <c:pt idx="3">
                  <c:v>13.6</c:v>
                </c:pt>
                <c:pt idx="4">
                  <c:v>4.9000000000000004</c:v>
                </c:pt>
                <c:pt idx="5">
                  <c:v>10.5</c:v>
                </c:pt>
                <c:pt idx="6">
                  <c:v>8.6999999999999993</c:v>
                </c:pt>
                <c:pt idx="7">
                  <c:v>4.9000000000000004</c:v>
                </c:pt>
                <c:pt idx="8">
                  <c:v>8.6999999999999993</c:v>
                </c:pt>
              </c:numCache>
            </c:numRef>
          </c:val>
        </c:ser>
        <c:ser>
          <c:idx val="1"/>
          <c:order val="1"/>
          <c:tx>
            <c:strRef>
              <c:f>'Low Income'!$C$5</c:f>
              <c:strCache>
                <c:ptCount val="1"/>
                <c:pt idx="0">
                  <c:v>London</c:v>
                </c:pt>
              </c:strCache>
            </c:strRef>
          </c:tx>
          <c:spPr>
            <a:solidFill>
              <a:srgbClr val="FF0000"/>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'Low Income'!$A$6:$A$18</c:f>
              <c:strCache>
                <c:ptCount val="9"/>
                <c:pt idx="0">
                  <c:v>1 Managers, directors and senior officials</c:v>
                </c:pt>
                <c:pt idx="1">
                  <c:v>2 Professional occupations</c:v>
                </c:pt>
                <c:pt idx="2">
                  <c:v>3 Associate professional &amp; technical</c:v>
                </c:pt>
                <c:pt idx="3">
                  <c:v>4 Administrative &amp; secretarial</c:v>
                </c:pt>
                <c:pt idx="4">
                  <c:v>5 Skilled trades occupations</c:v>
                </c:pt>
                <c:pt idx="5">
                  <c:v>6 Caring, leisure and Other Service occupations</c:v>
                </c:pt>
                <c:pt idx="6">
                  <c:v>7 Sales and customer service occs</c:v>
                </c:pt>
                <c:pt idx="7">
                  <c:v>8 Process plant &amp; machine operatives</c:v>
                </c:pt>
                <c:pt idx="8">
                  <c:v>9 Elementary occupations</c:v>
                </c:pt>
              </c:strCache>
            </c:strRef>
          </c:cat>
          <c:val>
            <c:numRef>
              <c:f>'Low Income'!$C$6:$C$18</c:f>
              <c:numCache>
                <c:formatCode>General</c:formatCode>
                <c:ptCount val="9"/>
                <c:pt idx="0">
                  <c:v>12.2</c:v>
                </c:pt>
                <c:pt idx="1">
                  <c:v>25.8</c:v>
                </c:pt>
                <c:pt idx="2">
                  <c:v>17.8</c:v>
                </c:pt>
                <c:pt idx="3">
                  <c:v>9.6</c:v>
                </c:pt>
                <c:pt idx="4">
                  <c:v>7</c:v>
                </c:pt>
                <c:pt idx="5">
                  <c:v>7.1</c:v>
                </c:pt>
                <c:pt idx="6">
                  <c:v>6.8</c:v>
                </c:pt>
                <c:pt idx="7">
                  <c:v>4.2</c:v>
                </c:pt>
                <c:pt idx="8">
                  <c:v>9</c:v>
                </c:pt>
              </c:numCache>
            </c:numRef>
          </c:val>
        </c:ser>
        <c:ser>
          <c:idx val="2"/>
          <c:order val="2"/>
          <c:tx>
            <c:strRef>
              <c:f>'Low Income'!$D$5</c:f>
              <c:strCache>
                <c:ptCount val="1"/>
                <c:pt idx="0">
                  <c:v>Great Britain</c:v>
                </c:pt>
              </c:strCache>
            </c:strRef>
          </c:tx>
          <c:spPr>
            <a:solidFill>
              <a:srgbClr val="0070C0"/>
            </a:solidFill>
            <a:ln>
              <a:noFill/>
            </a:ln>
            <a:effectLst/>
          </c:spPr>
          <c:invertIfNegative val="0"/>
          <c:dLbls>
            <c:spPr>
              <a:noFill/>
              <a:ln>
                <a:noFill/>
              </a:ln>
              <a:effectLst/>
            </c:spPr>
            <c:txPr>
              <a:bodyPr rot="-5400000" spcFirstLastPara="1" vertOverflow="ellipsis"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'Low Income'!$A$6:$A$18</c:f>
              <c:strCache>
                <c:ptCount val="9"/>
                <c:pt idx="0">
                  <c:v>1 Managers, directors and senior officials</c:v>
                </c:pt>
                <c:pt idx="1">
                  <c:v>2 Professional occupations</c:v>
                </c:pt>
                <c:pt idx="2">
                  <c:v>3 Associate professional &amp; technical</c:v>
                </c:pt>
                <c:pt idx="3">
                  <c:v>4 Administrative &amp; secretarial</c:v>
                </c:pt>
                <c:pt idx="4">
                  <c:v>5 Skilled trades occupations</c:v>
                </c:pt>
                <c:pt idx="5">
                  <c:v>6 Caring, leisure and Other Service occupations</c:v>
                </c:pt>
                <c:pt idx="6">
                  <c:v>7 Sales and customer service occs</c:v>
                </c:pt>
                <c:pt idx="7">
                  <c:v>8 Process plant &amp; machine operatives</c:v>
                </c:pt>
                <c:pt idx="8">
                  <c:v>9 Elementary occupations</c:v>
                </c:pt>
              </c:strCache>
            </c:strRef>
          </c:cat>
          <c:val>
            <c:numRef>
              <c:f>'Low Income'!$D$6:$D$18</c:f>
              <c:numCache>
                <c:formatCode>General</c:formatCode>
                <c:ptCount val="9"/>
                <c:pt idx="0">
                  <c:v>10.9</c:v>
                </c:pt>
                <c:pt idx="1">
                  <c:v>20.3</c:v>
                </c:pt>
                <c:pt idx="2">
                  <c:v>14.5</c:v>
                </c:pt>
                <c:pt idx="3">
                  <c:v>10.199999999999999</c:v>
                </c:pt>
                <c:pt idx="4">
                  <c:v>10.1</c:v>
                </c:pt>
                <c:pt idx="5">
                  <c:v>9</c:v>
                </c:pt>
                <c:pt idx="6">
                  <c:v>7.6</c:v>
                </c:pt>
                <c:pt idx="7">
                  <c:v>6.3</c:v>
                </c:pt>
                <c:pt idx="8">
                  <c:v>10.6</c:v>
                </c:pt>
              </c:numCache>
            </c:numRef>
          </c:val>
        </c:ser>
        <c:dLbls>
          <c:showLegendKey val="0"/>
          <c:showVal val="0"/>
          <c:showCatName val="0"/>
          <c:showSerName val="0"/>
          <c:showPercent val="0"/>
          <c:showBubbleSize val="0"/>
        </c:dLbls>
        <c:gapWidth val="56"/>
        <c:axId val="560584616"/>
        <c:axId val="560581872"/>
      </c:barChart>
      <c:catAx>
        <c:axId val="560584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0581872"/>
        <c:crosses val="autoZero"/>
        <c:auto val="1"/>
        <c:lblAlgn val="ctr"/>
        <c:lblOffset val="100"/>
        <c:noMultiLvlLbl val="0"/>
      </c:catAx>
      <c:valAx>
        <c:axId val="560581872"/>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560584616"/>
        <c:crosses val="autoZero"/>
        <c:crossBetween val="between"/>
        <c:majorUnit val="20"/>
      </c:valAx>
      <c:spPr>
        <a:noFill/>
        <a:ln>
          <a:noFill/>
        </a:ln>
        <a:effectLst/>
      </c:spPr>
    </c:plotArea>
    <c:legend>
      <c:legendPos val="b"/>
      <c:layout>
        <c:manualLayout>
          <c:xMode val="edge"/>
          <c:yMode val="edge"/>
          <c:x val="0.32170772679792065"/>
          <c:y val="7.9963910761154847E-2"/>
          <c:w val="0.56285389986629031"/>
          <c:h val="7.0913456612813397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100"/>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868332972139954E-2"/>
          <c:y val="0.17984295875654946"/>
          <c:w val="0.90351158950399746"/>
          <c:h val="0.69688442174282117"/>
        </c:manualLayout>
      </c:layout>
      <c:lineChart>
        <c:grouping val="standard"/>
        <c:varyColors val="0"/>
        <c:ser>
          <c:idx val="0"/>
          <c:order val="0"/>
          <c:tx>
            <c:strRef>
              <c:f>Employment!$B$277</c:f>
              <c:strCache>
                <c:ptCount val="1"/>
                <c:pt idx="0">
                  <c:v>Croydon (%)</c:v>
                </c:pt>
              </c:strCache>
            </c:strRef>
          </c:tx>
          <c:spPr>
            <a:ln w="28575" cap="rnd">
              <a:solidFill>
                <a:schemeClr val="accent1"/>
              </a:solidFill>
              <a:round/>
            </a:ln>
            <a:effectLst/>
          </c:spPr>
          <c:marker>
            <c:symbol val="circle"/>
            <c:size val="5"/>
            <c:spPr>
              <a:solidFill>
                <a:srgbClr val="7030A0"/>
              </a:solidFill>
              <a:ln w="9525">
                <a:solidFill>
                  <a:schemeClr val="accent1"/>
                </a:solidFill>
              </a:ln>
              <a:effectLst/>
            </c:spPr>
          </c:marker>
          <c:cat>
            <c:numRef>
              <c:f>Employment!$A$280:$A$284</c:f>
              <c:numCache>
                <c:formatCode>mmm\-yy</c:formatCode>
                <c:ptCount val="5"/>
                <c:pt idx="0">
                  <c:v>41214</c:v>
                </c:pt>
                <c:pt idx="1">
                  <c:v>41579</c:v>
                </c:pt>
                <c:pt idx="2">
                  <c:v>41944</c:v>
                </c:pt>
                <c:pt idx="3">
                  <c:v>42309</c:v>
                </c:pt>
                <c:pt idx="4">
                  <c:v>42675</c:v>
                </c:pt>
              </c:numCache>
            </c:numRef>
          </c:cat>
          <c:val>
            <c:numRef>
              <c:f>Employment!$B$280:$B$284</c:f>
              <c:numCache>
                <c:formatCode>General</c:formatCode>
                <c:ptCount val="5"/>
                <c:pt idx="0">
                  <c:v>11.8</c:v>
                </c:pt>
                <c:pt idx="1">
                  <c:v>10.5</c:v>
                </c:pt>
                <c:pt idx="2">
                  <c:v>9.4</c:v>
                </c:pt>
                <c:pt idx="3">
                  <c:v>8.6999999999999993</c:v>
                </c:pt>
                <c:pt idx="4">
                  <c:v>6.3</c:v>
                </c:pt>
              </c:numCache>
            </c:numRef>
          </c:val>
          <c:smooth val="0"/>
        </c:ser>
        <c:ser>
          <c:idx val="1"/>
          <c:order val="1"/>
          <c:tx>
            <c:strRef>
              <c:f>Employment!$C$277</c:f>
              <c:strCache>
                <c:ptCount val="1"/>
                <c:pt idx="0">
                  <c:v>London (%)</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Employment!$A$280:$A$284</c:f>
              <c:numCache>
                <c:formatCode>mmm\-yy</c:formatCode>
                <c:ptCount val="5"/>
                <c:pt idx="0">
                  <c:v>41214</c:v>
                </c:pt>
                <c:pt idx="1">
                  <c:v>41579</c:v>
                </c:pt>
                <c:pt idx="2">
                  <c:v>41944</c:v>
                </c:pt>
                <c:pt idx="3">
                  <c:v>42309</c:v>
                </c:pt>
                <c:pt idx="4">
                  <c:v>42675</c:v>
                </c:pt>
              </c:numCache>
            </c:numRef>
          </c:cat>
          <c:val>
            <c:numRef>
              <c:f>Employment!$C$280:$C$284</c:f>
              <c:numCache>
                <c:formatCode>General</c:formatCode>
                <c:ptCount val="5"/>
                <c:pt idx="0">
                  <c:v>11.3</c:v>
                </c:pt>
                <c:pt idx="1">
                  <c:v>10.1</c:v>
                </c:pt>
                <c:pt idx="2">
                  <c:v>9</c:v>
                </c:pt>
                <c:pt idx="3">
                  <c:v>8.1</c:v>
                </c:pt>
                <c:pt idx="4">
                  <c:v>7.2</c:v>
                </c:pt>
              </c:numCache>
            </c:numRef>
          </c:val>
          <c:smooth val="0"/>
        </c:ser>
        <c:ser>
          <c:idx val="2"/>
          <c:order val="2"/>
          <c:tx>
            <c:strRef>
              <c:f>Employment!$D$277</c:f>
              <c:strCache>
                <c:ptCount val="1"/>
                <c:pt idx="0">
                  <c:v>Great Britain (%)</c:v>
                </c:pt>
              </c:strCache>
            </c:strRef>
          </c:tx>
          <c:spPr>
            <a:ln w="28575" cap="rnd">
              <a:solidFill>
                <a:schemeClr val="accent3"/>
              </a:solidFill>
              <a:round/>
            </a:ln>
            <a:effectLst/>
          </c:spPr>
          <c:marker>
            <c:symbol val="circle"/>
            <c:size val="5"/>
            <c:spPr>
              <a:solidFill>
                <a:srgbClr val="4F81BD"/>
              </a:solidFill>
              <a:ln w="9525">
                <a:solidFill>
                  <a:schemeClr val="accent3"/>
                </a:solidFill>
              </a:ln>
              <a:effectLst/>
            </c:spPr>
          </c:marker>
          <c:cat>
            <c:numRef>
              <c:f>Employment!$A$280:$A$284</c:f>
              <c:numCache>
                <c:formatCode>mmm\-yy</c:formatCode>
                <c:ptCount val="5"/>
                <c:pt idx="0">
                  <c:v>41214</c:v>
                </c:pt>
                <c:pt idx="1">
                  <c:v>41579</c:v>
                </c:pt>
                <c:pt idx="2">
                  <c:v>41944</c:v>
                </c:pt>
                <c:pt idx="3">
                  <c:v>42309</c:v>
                </c:pt>
                <c:pt idx="4">
                  <c:v>42675</c:v>
                </c:pt>
              </c:numCache>
            </c:numRef>
          </c:cat>
          <c:val>
            <c:numRef>
              <c:f>Employment!$D$280:$D$284</c:f>
              <c:numCache>
                <c:formatCode>General</c:formatCode>
                <c:ptCount val="5"/>
                <c:pt idx="0">
                  <c:v>11.6</c:v>
                </c:pt>
                <c:pt idx="1">
                  <c:v>10.6</c:v>
                </c:pt>
                <c:pt idx="2">
                  <c:v>9.6999999999999993</c:v>
                </c:pt>
                <c:pt idx="3">
                  <c:v>9</c:v>
                </c:pt>
                <c:pt idx="4">
                  <c:v>8.4</c:v>
                </c:pt>
              </c:numCache>
            </c:numRef>
          </c:val>
          <c:smooth val="0"/>
        </c:ser>
        <c:dLbls>
          <c:showLegendKey val="0"/>
          <c:showVal val="0"/>
          <c:showCatName val="0"/>
          <c:showSerName val="0"/>
          <c:showPercent val="0"/>
          <c:showBubbleSize val="0"/>
        </c:dLbls>
        <c:marker val="1"/>
        <c:smooth val="0"/>
        <c:axId val="560581480"/>
        <c:axId val="560582264"/>
      </c:lineChart>
      <c:catAx>
        <c:axId val="56058148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60582264"/>
        <c:crosses val="autoZero"/>
        <c:auto val="0"/>
        <c:lblAlgn val="ctr"/>
        <c:lblOffset val="100"/>
        <c:noMultiLvlLbl val="0"/>
      </c:catAx>
      <c:valAx>
        <c:axId val="560582264"/>
        <c:scaling>
          <c:orientation val="minMax"/>
          <c:max val="2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60581480"/>
        <c:crosses val="autoZero"/>
        <c:crossBetween val="between"/>
        <c:majorUnit val="2"/>
      </c:valAx>
      <c:spPr>
        <a:noFill/>
        <a:ln>
          <a:noFill/>
        </a:ln>
        <a:effectLst/>
      </c:spPr>
    </c:plotArea>
    <c:legend>
      <c:legendPos val="b"/>
      <c:layout>
        <c:manualLayout>
          <c:xMode val="edge"/>
          <c:yMode val="edge"/>
          <c:x val="8.3200451074268988E-2"/>
          <c:y val="3.1537734950469902E-2"/>
          <c:w val="0.88594151861670556"/>
          <c:h val="8.9896732918465838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200"/>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Apprenticeships!$B$6</c:f>
              <c:strCache>
                <c:ptCount val="1"/>
                <c:pt idx="0">
                  <c:v>Percentage of new starts compared to total in London</c:v>
                </c:pt>
              </c:strCache>
            </c:strRef>
          </c:tx>
          <c:spPr>
            <a:solidFill>
              <a:srgbClr val="0070C0"/>
            </a:solidFill>
            <a:ln>
              <a:noFill/>
            </a:ln>
            <a:effectLst/>
          </c:spPr>
          <c:invertIfNegative val="0"/>
          <c:dPt>
            <c:idx val="1"/>
            <c:invertIfNegative val="0"/>
            <c:bubble3D val="0"/>
            <c:spPr>
              <a:solidFill>
                <a:srgbClr val="7030A0"/>
              </a:solidFill>
              <a:ln>
                <a:noFill/>
              </a:ln>
              <a:effectLst/>
            </c:spPr>
          </c:dPt>
          <c:dLbls>
            <c:numFmt formatCode="0.0%" sourceLinked="0"/>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Apprenticeships!$A$7:$A$38</c:f>
              <c:strCache>
                <c:ptCount val="32"/>
                <c:pt idx="0">
                  <c:v>Newham</c:v>
                </c:pt>
                <c:pt idx="1">
                  <c:v>Croydon</c:v>
                </c:pt>
                <c:pt idx="2">
                  <c:v>Havering</c:v>
                </c:pt>
                <c:pt idx="3">
                  <c:v>Enfield</c:v>
                </c:pt>
                <c:pt idx="4">
                  <c:v>Greenwich</c:v>
                </c:pt>
                <c:pt idx="5">
                  <c:v>Waltham Forest</c:v>
                </c:pt>
                <c:pt idx="6">
                  <c:v>Bexley</c:v>
                </c:pt>
                <c:pt idx="7">
                  <c:v>Barking and Dagenham</c:v>
                </c:pt>
                <c:pt idx="8">
                  <c:v>Lewisham</c:v>
                </c:pt>
                <c:pt idx="9">
                  <c:v>Ealing</c:v>
                </c:pt>
                <c:pt idx="10">
                  <c:v>Brent</c:v>
                </c:pt>
                <c:pt idx="11">
                  <c:v>Southwark</c:v>
                </c:pt>
                <c:pt idx="12">
                  <c:v>Tower Hamlets</c:v>
                </c:pt>
                <c:pt idx="13">
                  <c:v>Bromley</c:v>
                </c:pt>
                <c:pt idx="14">
                  <c:v>Basildon</c:v>
                </c:pt>
                <c:pt idx="15">
                  <c:v>Lambeth</c:v>
                </c:pt>
                <c:pt idx="16">
                  <c:v>Haringey</c:v>
                </c:pt>
                <c:pt idx="17">
                  <c:v>Hounslow</c:v>
                </c:pt>
                <c:pt idx="18">
                  <c:v>Barnet</c:v>
                </c:pt>
                <c:pt idx="19">
                  <c:v>Hackney</c:v>
                </c:pt>
                <c:pt idx="20">
                  <c:v>Sutton</c:v>
                </c:pt>
                <c:pt idx="21">
                  <c:v>Harrow</c:v>
                </c:pt>
                <c:pt idx="22">
                  <c:v>Wandsworth</c:v>
                </c:pt>
                <c:pt idx="23">
                  <c:v>Islington</c:v>
                </c:pt>
                <c:pt idx="24">
                  <c:v>Merton</c:v>
                </c:pt>
                <c:pt idx="25">
                  <c:v>Camden</c:v>
                </c:pt>
                <c:pt idx="26">
                  <c:v>Kingston upon Thames</c:v>
                </c:pt>
                <c:pt idx="27">
                  <c:v>Westminster</c:v>
                </c:pt>
                <c:pt idx="28">
                  <c:v>Richmond upon Thames</c:v>
                </c:pt>
                <c:pt idx="29">
                  <c:v>Redbridge</c:v>
                </c:pt>
                <c:pt idx="30">
                  <c:v>Kensington and Chelsea</c:v>
                </c:pt>
                <c:pt idx="31">
                  <c:v>Hammersmith and Fulham</c:v>
                </c:pt>
              </c:strCache>
            </c:strRef>
          </c:cat>
          <c:val>
            <c:numRef>
              <c:f>Apprenticeships!$B$7:$B$38</c:f>
              <c:numCache>
                <c:formatCode>0.0%</c:formatCode>
                <c:ptCount val="32"/>
                <c:pt idx="0">
                  <c:v>5.718992704165686E-2</c:v>
                </c:pt>
                <c:pt idx="1">
                  <c:v>5.4836432101670982E-2</c:v>
                </c:pt>
                <c:pt idx="2">
                  <c:v>4.7305248293716171E-2</c:v>
                </c:pt>
                <c:pt idx="3">
                  <c:v>4.5893151329724644E-2</c:v>
                </c:pt>
                <c:pt idx="4">
                  <c:v>4.3775005883737353E-2</c:v>
                </c:pt>
                <c:pt idx="5">
                  <c:v>4.3304306895740177E-2</c:v>
                </c:pt>
                <c:pt idx="6">
                  <c:v>4.2127559425747238E-2</c:v>
                </c:pt>
                <c:pt idx="7">
                  <c:v>4.1421510943751468E-2</c:v>
                </c:pt>
                <c:pt idx="8">
                  <c:v>4.118616144975288E-2</c:v>
                </c:pt>
                <c:pt idx="9">
                  <c:v>3.9068016003765589E-2</c:v>
                </c:pt>
                <c:pt idx="10">
                  <c:v>3.8597317015768413E-2</c:v>
                </c:pt>
                <c:pt idx="11">
                  <c:v>3.7420569545775474E-2</c:v>
                </c:pt>
                <c:pt idx="12">
                  <c:v>3.7420569545775474E-2</c:v>
                </c:pt>
                <c:pt idx="13">
                  <c:v>3.6949870557778298E-2</c:v>
                </c:pt>
                <c:pt idx="14">
                  <c:v>3.6479171569781123E-2</c:v>
                </c:pt>
                <c:pt idx="15">
                  <c:v>3.5067074605789596E-2</c:v>
                </c:pt>
                <c:pt idx="16">
                  <c:v>3.3654977641798069E-2</c:v>
                </c:pt>
                <c:pt idx="17">
                  <c:v>3.2948929159802305E-2</c:v>
                </c:pt>
                <c:pt idx="18">
                  <c:v>3.2713579665803717E-2</c:v>
                </c:pt>
                <c:pt idx="19">
                  <c:v>3.130148270181219E-2</c:v>
                </c:pt>
                <c:pt idx="20">
                  <c:v>2.7535890797834785E-2</c:v>
                </c:pt>
                <c:pt idx="21">
                  <c:v>2.4476347375853143E-2</c:v>
                </c:pt>
                <c:pt idx="22">
                  <c:v>2.2122852435867264E-2</c:v>
                </c:pt>
                <c:pt idx="23">
                  <c:v>2.1652153447870089E-2</c:v>
                </c:pt>
                <c:pt idx="24">
                  <c:v>2.0240056483878558E-2</c:v>
                </c:pt>
                <c:pt idx="25">
                  <c:v>1.6474464579901153E-2</c:v>
                </c:pt>
                <c:pt idx="26">
                  <c:v>1.459166862791245E-2</c:v>
                </c:pt>
                <c:pt idx="27">
                  <c:v>1.4120969639915274E-2</c:v>
                </c:pt>
                <c:pt idx="28">
                  <c:v>1.1767474699929396E-2</c:v>
                </c:pt>
                <c:pt idx="29">
                  <c:v>8.9432807719463398E-3</c:v>
                </c:pt>
                <c:pt idx="30">
                  <c:v>6.3544363379618735E-3</c:v>
                </c:pt>
                <c:pt idx="31">
                  <c:v>2.5888444339844667E-3</c:v>
                </c:pt>
              </c:numCache>
            </c:numRef>
          </c:val>
        </c:ser>
        <c:dLbls>
          <c:showLegendKey val="0"/>
          <c:showVal val="0"/>
          <c:showCatName val="0"/>
          <c:showSerName val="0"/>
          <c:showPercent val="0"/>
          <c:showBubbleSize val="0"/>
        </c:dLbls>
        <c:gapWidth val="36"/>
        <c:axId val="622032856"/>
        <c:axId val="622032072"/>
      </c:barChart>
      <c:catAx>
        <c:axId val="622032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622032072"/>
        <c:crosses val="autoZero"/>
        <c:auto val="1"/>
        <c:lblAlgn val="ctr"/>
        <c:lblOffset val="100"/>
        <c:noMultiLvlLbl val="0"/>
      </c:catAx>
      <c:valAx>
        <c:axId val="622032072"/>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2032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'Croydon House Sales'!$I$319</c:f>
              <c:strCache>
                <c:ptCount val="1"/>
                <c:pt idx="0">
                  <c:v>Number of Property Sales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'Croydon House Sales'!$H$320:$H$324</c:f>
              <c:strCache>
                <c:ptCount val="5"/>
                <c:pt idx="0">
                  <c:v>2013</c:v>
                </c:pt>
                <c:pt idx="1">
                  <c:v>2014</c:v>
                </c:pt>
                <c:pt idx="2">
                  <c:v>2015</c:v>
                </c:pt>
                <c:pt idx="3">
                  <c:v>2016</c:v>
                </c:pt>
                <c:pt idx="4">
                  <c:v>2017</c:v>
                </c:pt>
              </c:strCache>
            </c:strRef>
          </c:cat>
          <c:val>
            <c:numRef>
              <c:f>'Croydon House Sales'!$I$320:$I$324</c:f>
              <c:numCache>
                <c:formatCode>General</c:formatCode>
                <c:ptCount val="5"/>
                <c:pt idx="0">
                  <c:v>4980</c:v>
                </c:pt>
                <c:pt idx="1">
                  <c:v>6215</c:v>
                </c:pt>
                <c:pt idx="2">
                  <c:v>5953</c:v>
                </c:pt>
                <c:pt idx="3">
                  <c:v>5312</c:v>
                </c:pt>
                <c:pt idx="4">
                  <c:v>5792</c:v>
                </c:pt>
              </c:numCache>
            </c:numRef>
          </c:val>
        </c:ser>
        <c:dLbls>
          <c:showLegendKey val="0"/>
          <c:showVal val="0"/>
          <c:showCatName val="0"/>
          <c:showSerName val="0"/>
          <c:showPercent val="0"/>
          <c:showBubbleSize val="0"/>
        </c:dLbls>
        <c:gapWidth val="60"/>
        <c:axId val="622029328"/>
        <c:axId val="622030112"/>
      </c:barChart>
      <c:catAx>
        <c:axId val="6220293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2030112"/>
        <c:crosses val="autoZero"/>
        <c:auto val="1"/>
        <c:lblAlgn val="ctr"/>
        <c:lblOffset val="100"/>
        <c:noMultiLvlLbl val="0"/>
      </c:catAx>
      <c:valAx>
        <c:axId val="6220301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2029328"/>
        <c:crosses val="autoZero"/>
        <c:crossBetween val="between"/>
      </c:valAx>
      <c:spPr>
        <a:noFill/>
        <a:ln>
          <a:noFill/>
        </a:ln>
        <a:effectLst/>
      </c:spPr>
    </c:plotArea>
    <c:plotVisOnly val="1"/>
    <c:dispBlanksAs val="gap"/>
    <c:showDLblsOverMax val="0"/>
  </c:chart>
  <c:spPr>
    <a:solidFill>
      <a:schemeClr val="bg1"/>
    </a:solidFill>
    <a:ln w="6350"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681516973839808"/>
          <c:y val="0.12444444444444444"/>
          <c:w val="0.82139612356147784"/>
          <c:h val="0.77300717410323705"/>
        </c:manualLayout>
      </c:layout>
      <c:barChart>
        <c:barDir val="col"/>
        <c:grouping val="clustered"/>
        <c:varyColors val="0"/>
        <c:ser>
          <c:idx val="0"/>
          <c:order val="0"/>
          <c:tx>
            <c:strRef>
              <c:f>'HousePrices by Type'!$K$3</c:f>
              <c:strCache>
                <c:ptCount val="1"/>
                <c:pt idx="0">
                  <c:v>Detached</c:v>
                </c:pt>
              </c:strCache>
            </c:strRef>
          </c:tx>
          <c:spPr>
            <a:solidFill>
              <a:schemeClr val="accent1"/>
            </a:solidFill>
            <a:ln>
              <a:noFill/>
            </a:ln>
            <a:effectLst/>
          </c:spPr>
          <c:invertIfNegative val="0"/>
          <c:cat>
            <c:numRef>
              <c:f>'HousePrices by Type'!$J$4:$J$8</c:f>
              <c:numCache>
                <c:formatCode>m/d/yyyy</c:formatCode>
                <c:ptCount val="5"/>
                <c:pt idx="0">
                  <c:v>41275</c:v>
                </c:pt>
                <c:pt idx="1">
                  <c:v>41640</c:v>
                </c:pt>
                <c:pt idx="2">
                  <c:v>42005</c:v>
                </c:pt>
                <c:pt idx="3">
                  <c:v>42370</c:v>
                </c:pt>
                <c:pt idx="4">
                  <c:v>42736</c:v>
                </c:pt>
              </c:numCache>
            </c:numRef>
          </c:cat>
          <c:val>
            <c:numRef>
              <c:f>'HousePrices by Type'!$K$4:$K$8</c:f>
              <c:numCache>
                <c:formatCode>"£"#,##0</c:formatCode>
                <c:ptCount val="5"/>
                <c:pt idx="0">
                  <c:v>464063.76380000002</c:v>
                </c:pt>
                <c:pt idx="1">
                  <c:v>509109.27429999999</c:v>
                </c:pt>
                <c:pt idx="2">
                  <c:v>590792.39410000003</c:v>
                </c:pt>
                <c:pt idx="3">
                  <c:v>685479.0773</c:v>
                </c:pt>
                <c:pt idx="4">
                  <c:v>751748.83589999995</c:v>
                </c:pt>
              </c:numCache>
            </c:numRef>
          </c:val>
        </c:ser>
        <c:ser>
          <c:idx val="1"/>
          <c:order val="1"/>
          <c:tx>
            <c:strRef>
              <c:f>'HousePrices by Type'!$L$3</c:f>
              <c:strCache>
                <c:ptCount val="1"/>
                <c:pt idx="0">
                  <c:v>Semi-Detached</c:v>
                </c:pt>
              </c:strCache>
            </c:strRef>
          </c:tx>
          <c:spPr>
            <a:solidFill>
              <a:schemeClr val="accent2"/>
            </a:solidFill>
            <a:ln>
              <a:noFill/>
            </a:ln>
            <a:effectLst/>
          </c:spPr>
          <c:invertIfNegative val="0"/>
          <c:cat>
            <c:numRef>
              <c:f>'HousePrices by Type'!$J$4:$J$8</c:f>
              <c:numCache>
                <c:formatCode>m/d/yyyy</c:formatCode>
                <c:ptCount val="5"/>
                <c:pt idx="0">
                  <c:v>41275</c:v>
                </c:pt>
                <c:pt idx="1">
                  <c:v>41640</c:v>
                </c:pt>
                <c:pt idx="2">
                  <c:v>42005</c:v>
                </c:pt>
                <c:pt idx="3">
                  <c:v>42370</c:v>
                </c:pt>
                <c:pt idx="4">
                  <c:v>42736</c:v>
                </c:pt>
              </c:numCache>
            </c:numRef>
          </c:cat>
          <c:val>
            <c:numRef>
              <c:f>'HousePrices by Type'!$L$4:$L$8</c:f>
              <c:numCache>
                <c:formatCode>"£"#,##0</c:formatCode>
                <c:ptCount val="5"/>
                <c:pt idx="0">
                  <c:v>295398.8432</c:v>
                </c:pt>
                <c:pt idx="1">
                  <c:v>326121.43920000002</c:v>
                </c:pt>
                <c:pt idx="2">
                  <c:v>378628.49650000001</c:v>
                </c:pt>
                <c:pt idx="3">
                  <c:v>439720.56030000001</c:v>
                </c:pt>
                <c:pt idx="4">
                  <c:v>479769.13099999999</c:v>
                </c:pt>
              </c:numCache>
            </c:numRef>
          </c:val>
        </c:ser>
        <c:ser>
          <c:idx val="2"/>
          <c:order val="2"/>
          <c:tx>
            <c:strRef>
              <c:f>'HousePrices by Type'!$M$3</c:f>
              <c:strCache>
                <c:ptCount val="1"/>
                <c:pt idx="0">
                  <c:v>Terraced</c:v>
                </c:pt>
              </c:strCache>
            </c:strRef>
          </c:tx>
          <c:spPr>
            <a:solidFill>
              <a:schemeClr val="accent3"/>
            </a:solidFill>
            <a:ln>
              <a:noFill/>
            </a:ln>
            <a:effectLst/>
          </c:spPr>
          <c:invertIfNegative val="0"/>
          <c:cat>
            <c:numRef>
              <c:f>'HousePrices by Type'!$J$4:$J$8</c:f>
              <c:numCache>
                <c:formatCode>m/d/yyyy</c:formatCode>
                <c:ptCount val="5"/>
                <c:pt idx="0">
                  <c:v>41275</c:v>
                </c:pt>
                <c:pt idx="1">
                  <c:v>41640</c:v>
                </c:pt>
                <c:pt idx="2">
                  <c:v>42005</c:v>
                </c:pt>
                <c:pt idx="3">
                  <c:v>42370</c:v>
                </c:pt>
                <c:pt idx="4">
                  <c:v>42736</c:v>
                </c:pt>
              </c:numCache>
            </c:numRef>
          </c:cat>
          <c:val>
            <c:numRef>
              <c:f>'HousePrices by Type'!$M$4:$M$8</c:f>
              <c:numCache>
                <c:formatCode>"£"#,##0</c:formatCode>
                <c:ptCount val="5"/>
                <c:pt idx="0">
                  <c:v>217773.4112</c:v>
                </c:pt>
                <c:pt idx="1">
                  <c:v>240455.53169999999</c:v>
                </c:pt>
                <c:pt idx="2">
                  <c:v>279068.02470000001</c:v>
                </c:pt>
                <c:pt idx="3">
                  <c:v>322189.42320000002</c:v>
                </c:pt>
                <c:pt idx="4">
                  <c:v>348339.56579999998</c:v>
                </c:pt>
              </c:numCache>
            </c:numRef>
          </c:val>
        </c:ser>
        <c:ser>
          <c:idx val="3"/>
          <c:order val="3"/>
          <c:tx>
            <c:strRef>
              <c:f>'HousePrices by Type'!$N$3</c:f>
              <c:strCache>
                <c:ptCount val="1"/>
                <c:pt idx="0">
                  <c:v>Flat</c:v>
                </c:pt>
              </c:strCache>
            </c:strRef>
          </c:tx>
          <c:spPr>
            <a:solidFill>
              <a:schemeClr val="accent4"/>
            </a:solidFill>
            <a:ln>
              <a:noFill/>
            </a:ln>
            <a:effectLst/>
          </c:spPr>
          <c:invertIfNegative val="0"/>
          <c:cat>
            <c:numRef>
              <c:f>'HousePrices by Type'!$J$4:$J$8</c:f>
              <c:numCache>
                <c:formatCode>m/d/yyyy</c:formatCode>
                <c:ptCount val="5"/>
                <c:pt idx="0">
                  <c:v>41275</c:v>
                </c:pt>
                <c:pt idx="1">
                  <c:v>41640</c:v>
                </c:pt>
                <c:pt idx="2">
                  <c:v>42005</c:v>
                </c:pt>
                <c:pt idx="3">
                  <c:v>42370</c:v>
                </c:pt>
                <c:pt idx="4">
                  <c:v>42736</c:v>
                </c:pt>
              </c:numCache>
            </c:numRef>
          </c:cat>
          <c:val>
            <c:numRef>
              <c:f>'HousePrices by Type'!$N$4:$N$8</c:f>
              <c:numCache>
                <c:formatCode>"£"#,##0</c:formatCode>
                <c:ptCount val="5"/>
                <c:pt idx="0">
                  <c:v>168084.9663</c:v>
                </c:pt>
                <c:pt idx="1">
                  <c:v>185713.56959999999</c:v>
                </c:pt>
                <c:pt idx="2">
                  <c:v>214591.9817</c:v>
                </c:pt>
                <c:pt idx="3">
                  <c:v>245527.1047</c:v>
                </c:pt>
                <c:pt idx="4">
                  <c:v>271322.87959999999</c:v>
                </c:pt>
              </c:numCache>
            </c:numRef>
          </c:val>
        </c:ser>
        <c:dLbls>
          <c:showLegendKey val="0"/>
          <c:showVal val="0"/>
          <c:showCatName val="0"/>
          <c:showSerName val="0"/>
          <c:showPercent val="0"/>
          <c:showBubbleSize val="0"/>
        </c:dLbls>
        <c:gapWidth val="60"/>
        <c:axId val="622029720"/>
        <c:axId val="622030896"/>
      </c:barChart>
      <c:dateAx>
        <c:axId val="622029720"/>
        <c:scaling>
          <c:orientation val="minMax"/>
        </c:scaling>
        <c:delete val="0"/>
        <c:axPos val="b"/>
        <c:numFmt formatCode="m/d/yy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2030896"/>
        <c:crosses val="autoZero"/>
        <c:auto val="1"/>
        <c:lblOffset val="100"/>
        <c:baseTimeUnit val="years"/>
      </c:dateAx>
      <c:valAx>
        <c:axId val="622030896"/>
        <c:scaling>
          <c:orientation val="minMax"/>
        </c:scaling>
        <c:delete val="0"/>
        <c:axPos val="l"/>
        <c:majorGridlines>
          <c:spPr>
            <a:ln w="9525" cap="flat" cmpd="sng" algn="ctr">
              <a:solidFill>
                <a:schemeClr val="tx1">
                  <a:lumMod val="15000"/>
                  <a:lumOff val="85000"/>
                </a:schemeClr>
              </a:solidFill>
              <a:round/>
            </a:ln>
            <a:effectLst/>
          </c:spPr>
        </c:majorGridlines>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22029720"/>
        <c:crosses val="autoZero"/>
        <c:crossBetween val="between"/>
      </c:valAx>
      <c:spPr>
        <a:noFill/>
        <a:ln>
          <a:noFill/>
        </a:ln>
        <a:effectLst/>
      </c:spPr>
    </c:plotArea>
    <c:legend>
      <c:legendPos val="b"/>
      <c:layout>
        <c:manualLayout>
          <c:xMode val="edge"/>
          <c:yMode val="edge"/>
          <c:x val="0.17708549652447289"/>
          <c:y val="2.2777252843394536E-2"/>
          <c:w val="0.75414124917077674"/>
          <c:h val="7.1479615048118991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2541251399519117E-2"/>
          <c:y val="5.5555737445501227E-2"/>
          <c:w val="0.9056010590459409"/>
          <c:h val="0.45522615286394813"/>
        </c:manualLayout>
      </c:layout>
      <c:barChart>
        <c:barDir val="col"/>
        <c:grouping val="clustered"/>
        <c:varyColors val="0"/>
        <c:ser>
          <c:idx val="0"/>
          <c:order val="0"/>
          <c:spPr>
            <a:solidFill>
              <a:srgbClr val="4F81BD"/>
            </a:solidFill>
            <a:ln w="25400">
              <a:noFill/>
            </a:ln>
          </c:spPr>
          <c:invertIfNegative val="0"/>
          <c:dPt>
            <c:idx val="3"/>
            <c:invertIfNegative val="0"/>
            <c:bubble3D val="0"/>
            <c:spPr>
              <a:solidFill>
                <a:srgbClr val="7030A0"/>
              </a:solidFill>
              <a:ln>
                <a:solidFill>
                  <a:srgbClr val="7030A0"/>
                </a:solidFill>
              </a:ln>
              <a:effectLst/>
            </c:spPr>
          </c:dPt>
          <c:dLbls>
            <c:spPr>
              <a:noFill/>
              <a:ln w="25400">
                <a:noFill/>
              </a:ln>
            </c:spPr>
            <c:txPr>
              <a:bodyPr rot="-5400000" spcFirstLastPara="1" vertOverflow="ellipsis" vert="horz" wrap="square" anchor="ctr" anchorCtr="1"/>
              <a:lstStyle/>
              <a:p>
                <a:pPr>
                  <a:defRPr sz="9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'GLA ratio Hse Price'!$C$39:$C$70</c:f>
              <c:strCache>
                <c:ptCount val="32"/>
                <c:pt idx="0">
                  <c:v>Barking and Dagenham</c:v>
                </c:pt>
                <c:pt idx="1">
                  <c:v>Bexley</c:v>
                </c:pt>
                <c:pt idx="2">
                  <c:v>Havering</c:v>
                </c:pt>
                <c:pt idx="3">
                  <c:v>Croydon</c:v>
                </c:pt>
                <c:pt idx="4">
                  <c:v>Bromley</c:v>
                </c:pt>
                <c:pt idx="5">
                  <c:v>Sutton</c:v>
                </c:pt>
                <c:pt idx="6">
                  <c:v>Hounslow</c:v>
                </c:pt>
                <c:pt idx="7">
                  <c:v>Lewisham</c:v>
                </c:pt>
                <c:pt idx="8">
                  <c:v>Redbridge</c:v>
                </c:pt>
                <c:pt idx="9">
                  <c:v>Greenwich</c:v>
                </c:pt>
                <c:pt idx="10">
                  <c:v>Tower Hamlets</c:v>
                </c:pt>
                <c:pt idx="11">
                  <c:v>Kingston upon Thames</c:v>
                </c:pt>
                <c:pt idx="12">
                  <c:v>Merton</c:v>
                </c:pt>
                <c:pt idx="13">
                  <c:v>Enfield</c:v>
                </c:pt>
                <c:pt idx="14">
                  <c:v>Hillingdon</c:v>
                </c:pt>
                <c:pt idx="15">
                  <c:v>Newham</c:v>
                </c:pt>
                <c:pt idx="16">
                  <c:v>Barnet</c:v>
                </c:pt>
                <c:pt idx="17">
                  <c:v>Waltham Forest</c:v>
                </c:pt>
                <c:pt idx="18">
                  <c:v>Harrow</c:v>
                </c:pt>
                <c:pt idx="19">
                  <c:v>Ealing</c:v>
                </c:pt>
                <c:pt idx="20">
                  <c:v>Lambeth</c:v>
                </c:pt>
                <c:pt idx="21">
                  <c:v>Southwark</c:v>
                </c:pt>
                <c:pt idx="22">
                  <c:v>Hackney</c:v>
                </c:pt>
                <c:pt idx="23">
                  <c:v>Richmond upon Thames</c:v>
                </c:pt>
                <c:pt idx="24">
                  <c:v>Brent</c:v>
                </c:pt>
                <c:pt idx="25">
                  <c:v>Haringey</c:v>
                </c:pt>
                <c:pt idx="26">
                  <c:v>Wandsworth</c:v>
                </c:pt>
                <c:pt idx="27">
                  <c:v>Islington</c:v>
                </c:pt>
                <c:pt idx="28">
                  <c:v>Camden</c:v>
                </c:pt>
                <c:pt idx="29">
                  <c:v>Hammersmith and Fulham</c:v>
                </c:pt>
                <c:pt idx="30">
                  <c:v>Westminster</c:v>
                </c:pt>
                <c:pt idx="31">
                  <c:v>Kensington and Chelsea</c:v>
                </c:pt>
              </c:strCache>
            </c:strRef>
          </c:cat>
          <c:val>
            <c:numRef>
              <c:f>'GLA ratio Hse Price'!$D$39:$D$70</c:f>
              <c:numCache>
                <c:formatCode>0.00</c:formatCode>
                <c:ptCount val="32"/>
                <c:pt idx="0">
                  <c:v>10.11</c:v>
                </c:pt>
                <c:pt idx="1">
                  <c:v>10.130000000000001</c:v>
                </c:pt>
                <c:pt idx="2">
                  <c:v>10.62</c:v>
                </c:pt>
                <c:pt idx="3">
                  <c:v>10.7</c:v>
                </c:pt>
                <c:pt idx="4">
                  <c:v>10.74</c:v>
                </c:pt>
                <c:pt idx="5">
                  <c:v>11.11</c:v>
                </c:pt>
                <c:pt idx="6">
                  <c:v>11.9</c:v>
                </c:pt>
                <c:pt idx="7">
                  <c:v>12.26</c:v>
                </c:pt>
                <c:pt idx="8">
                  <c:v>12.55</c:v>
                </c:pt>
                <c:pt idx="9">
                  <c:v>12.74</c:v>
                </c:pt>
                <c:pt idx="10">
                  <c:v>12.74</c:v>
                </c:pt>
                <c:pt idx="11">
                  <c:v>12.86</c:v>
                </c:pt>
                <c:pt idx="12">
                  <c:v>12.86</c:v>
                </c:pt>
                <c:pt idx="13">
                  <c:v>13</c:v>
                </c:pt>
                <c:pt idx="14">
                  <c:v>13.09</c:v>
                </c:pt>
                <c:pt idx="15">
                  <c:v>13.41</c:v>
                </c:pt>
                <c:pt idx="16">
                  <c:v>13.63</c:v>
                </c:pt>
                <c:pt idx="17">
                  <c:v>14.19</c:v>
                </c:pt>
                <c:pt idx="18">
                  <c:v>14.6</c:v>
                </c:pt>
                <c:pt idx="19">
                  <c:v>14.7</c:v>
                </c:pt>
                <c:pt idx="20">
                  <c:v>14.98</c:v>
                </c:pt>
                <c:pt idx="21">
                  <c:v>15.35</c:v>
                </c:pt>
                <c:pt idx="22">
                  <c:v>15.5</c:v>
                </c:pt>
                <c:pt idx="23">
                  <c:v>15.69</c:v>
                </c:pt>
                <c:pt idx="24">
                  <c:v>15.76</c:v>
                </c:pt>
                <c:pt idx="25">
                  <c:v>15.93</c:v>
                </c:pt>
                <c:pt idx="26">
                  <c:v>16.2</c:v>
                </c:pt>
                <c:pt idx="27">
                  <c:v>16.239999999999998</c:v>
                </c:pt>
                <c:pt idx="28">
                  <c:v>18.97</c:v>
                </c:pt>
                <c:pt idx="29">
                  <c:v>19.2</c:v>
                </c:pt>
                <c:pt idx="30">
                  <c:v>24.07</c:v>
                </c:pt>
                <c:pt idx="31">
                  <c:v>28.89</c:v>
                </c:pt>
              </c:numCache>
            </c:numRef>
          </c:val>
        </c:ser>
        <c:dLbls>
          <c:showLegendKey val="0"/>
          <c:showVal val="0"/>
          <c:showCatName val="0"/>
          <c:showSerName val="0"/>
          <c:showPercent val="0"/>
          <c:showBubbleSize val="0"/>
        </c:dLbls>
        <c:gapWidth val="12"/>
        <c:overlap val="-27"/>
        <c:axId val="560583048"/>
        <c:axId val="359792184"/>
      </c:barChart>
      <c:catAx>
        <c:axId val="5605830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359792184"/>
        <c:crosses val="autoZero"/>
        <c:auto val="1"/>
        <c:lblAlgn val="ctr"/>
        <c:lblOffset val="100"/>
        <c:noMultiLvlLbl val="0"/>
      </c:catAx>
      <c:valAx>
        <c:axId val="359792184"/>
        <c:scaling>
          <c:orientation val="minMax"/>
          <c:max val="4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ln w="9525">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60583048"/>
        <c:crosses val="autoZero"/>
        <c:crossBetween val="between"/>
      </c:valAx>
      <c:spPr>
        <a:noFill/>
        <a:ln w="25400">
          <a:noFill/>
        </a:ln>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293995702460269"/>
          <c:y val="0.14947683109118087"/>
          <c:w val="0.83753623345158779"/>
          <c:h val="0.72319362546049459"/>
        </c:manualLayout>
      </c:layout>
      <c:barChart>
        <c:barDir val="col"/>
        <c:grouping val="stacked"/>
        <c:varyColors val="0"/>
        <c:ser>
          <c:idx val="0"/>
          <c:order val="0"/>
          <c:tx>
            <c:strRef>
              <c:f>MYE_Pop!$H$18</c:f>
              <c:strCache>
                <c:ptCount val="1"/>
                <c:pt idx="0">
                  <c:v>CROYDON Males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MYE_Pop!$G$19:$G$22</c:f>
              <c:strCache>
                <c:ptCount val="4"/>
                <c:pt idx="0">
                  <c:v>0-19 yrs</c:v>
                </c:pt>
                <c:pt idx="1">
                  <c:v>20-39 yrs</c:v>
                </c:pt>
                <c:pt idx="2">
                  <c:v>40-64 yrs</c:v>
                </c:pt>
                <c:pt idx="3">
                  <c:v>65+ yrs</c:v>
                </c:pt>
              </c:strCache>
            </c:strRef>
          </c:cat>
          <c:val>
            <c:numRef>
              <c:f>MYE_Pop!$H$19:$H$22</c:f>
              <c:numCache>
                <c:formatCode>0.0%</c:formatCode>
                <c:ptCount val="4"/>
                <c:pt idx="0">
                  <c:v>0.28179419525065963</c:v>
                </c:pt>
                <c:pt idx="1">
                  <c:v>0.27176781002638523</c:v>
                </c:pt>
                <c:pt idx="2">
                  <c:v>0.32295514511873352</c:v>
                </c:pt>
                <c:pt idx="3">
                  <c:v>0.12348284960422164</c:v>
                </c:pt>
              </c:numCache>
            </c:numRef>
          </c:val>
        </c:ser>
        <c:ser>
          <c:idx val="1"/>
          <c:order val="1"/>
          <c:tx>
            <c:strRef>
              <c:f>MYE_Pop!$I$18</c:f>
              <c:strCache>
                <c:ptCount val="1"/>
                <c:pt idx="0">
                  <c:v>CROYDON Females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MYE_Pop!$G$19:$G$22</c:f>
              <c:strCache>
                <c:ptCount val="4"/>
                <c:pt idx="0">
                  <c:v>0-19 yrs</c:v>
                </c:pt>
                <c:pt idx="1">
                  <c:v>20-39 yrs</c:v>
                </c:pt>
                <c:pt idx="2">
                  <c:v>40-64 yrs</c:v>
                </c:pt>
                <c:pt idx="3">
                  <c:v>65+ yrs</c:v>
                </c:pt>
              </c:strCache>
            </c:strRef>
          </c:cat>
          <c:val>
            <c:numRef>
              <c:f>MYE_Pop!$I$19:$I$22</c:f>
              <c:numCache>
                <c:formatCode>0.0%</c:formatCode>
                <c:ptCount val="4"/>
                <c:pt idx="0">
                  <c:v>0.25499001996007986</c:v>
                </c:pt>
                <c:pt idx="1">
                  <c:v>0.27794411177644712</c:v>
                </c:pt>
                <c:pt idx="2">
                  <c:v>0.32335329341317365</c:v>
                </c:pt>
                <c:pt idx="3">
                  <c:v>0.1437125748502994</c:v>
                </c:pt>
              </c:numCache>
            </c:numRef>
          </c:val>
        </c:ser>
        <c:dLbls>
          <c:showLegendKey val="0"/>
          <c:showVal val="0"/>
          <c:showCatName val="0"/>
          <c:showSerName val="0"/>
          <c:showPercent val="0"/>
          <c:showBubbleSize val="0"/>
        </c:dLbls>
        <c:gapWidth val="48"/>
        <c:overlap val="100"/>
        <c:axId val="480883144"/>
        <c:axId val="480882752"/>
      </c:barChart>
      <c:catAx>
        <c:axId val="480883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480882752"/>
        <c:crosses val="autoZero"/>
        <c:auto val="1"/>
        <c:lblAlgn val="ctr"/>
        <c:lblOffset val="100"/>
        <c:noMultiLvlLbl val="0"/>
      </c:catAx>
      <c:valAx>
        <c:axId val="48088275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480883144"/>
        <c:crosses val="autoZero"/>
        <c:crossBetween val="between"/>
        <c:majorUnit val="0.2"/>
      </c:valAx>
      <c:spPr>
        <a:noFill/>
        <a:ln>
          <a:noFill/>
        </a:ln>
        <a:effectLst/>
      </c:spPr>
    </c:plotArea>
    <c:legend>
      <c:legendPos val="b"/>
      <c:layout>
        <c:manualLayout>
          <c:xMode val="edge"/>
          <c:yMode val="edge"/>
          <c:x val="0.18289300252562768"/>
          <c:y val="2.2749484474085969E-2"/>
          <c:w val="0.71708144406477492"/>
          <c:h val="0.1040014122403214"/>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6580927384076991E-2"/>
          <c:y val="0.16203703703703703"/>
          <c:w val="0.89730796150481185"/>
          <c:h val="0.69873432487605724"/>
        </c:manualLayout>
      </c:layout>
      <c:barChart>
        <c:barDir val="col"/>
        <c:grouping val="clustered"/>
        <c:varyColors val="0"/>
        <c:ser>
          <c:idx val="0"/>
          <c:order val="0"/>
          <c:tx>
            <c:strRef>
              <c:f>OwnerOccup!$C$10</c:f>
              <c:strCache>
                <c:ptCount val="1"/>
                <c:pt idx="0">
                  <c:v>2012/13</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OwnerOccup!$D$9:$I$9</c:f>
              <c:strCache>
                <c:ptCount val="6"/>
                <c:pt idx="0">
                  <c:v>16-24</c:v>
                </c:pt>
                <c:pt idx="1">
                  <c:v>25-34</c:v>
                </c:pt>
                <c:pt idx="2">
                  <c:v>35-44</c:v>
                </c:pt>
                <c:pt idx="3">
                  <c:v>45-64</c:v>
                </c:pt>
                <c:pt idx="4">
                  <c:v>65-74</c:v>
                </c:pt>
                <c:pt idx="5">
                  <c:v>75+</c:v>
                </c:pt>
              </c:strCache>
            </c:strRef>
          </c:cat>
          <c:val>
            <c:numRef>
              <c:f>OwnerOccup!$D$10:$I$10</c:f>
              <c:numCache>
                <c:formatCode>General</c:formatCode>
                <c:ptCount val="6"/>
                <c:pt idx="0">
                  <c:v>11</c:v>
                </c:pt>
                <c:pt idx="1">
                  <c:v>40</c:v>
                </c:pt>
                <c:pt idx="2">
                  <c:v>62</c:v>
                </c:pt>
                <c:pt idx="3">
                  <c:v>74</c:v>
                </c:pt>
                <c:pt idx="4">
                  <c:v>79</c:v>
                </c:pt>
                <c:pt idx="5">
                  <c:v>76</c:v>
                </c:pt>
              </c:numCache>
            </c:numRef>
          </c:val>
        </c:ser>
        <c:ser>
          <c:idx val="1"/>
          <c:order val="1"/>
          <c:tx>
            <c:strRef>
              <c:f>OwnerOccup!$C$11</c:f>
              <c:strCache>
                <c:ptCount val="1"/>
                <c:pt idx="0">
                  <c:v>2013/14</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OwnerOccup!$D$9:$I$9</c:f>
              <c:strCache>
                <c:ptCount val="6"/>
                <c:pt idx="0">
                  <c:v>16-24</c:v>
                </c:pt>
                <c:pt idx="1">
                  <c:v>25-34</c:v>
                </c:pt>
                <c:pt idx="2">
                  <c:v>35-44</c:v>
                </c:pt>
                <c:pt idx="3">
                  <c:v>45-64</c:v>
                </c:pt>
                <c:pt idx="4">
                  <c:v>65-74</c:v>
                </c:pt>
                <c:pt idx="5">
                  <c:v>75+</c:v>
                </c:pt>
              </c:strCache>
            </c:strRef>
          </c:cat>
          <c:val>
            <c:numRef>
              <c:f>OwnerOccup!$D$11:$I$11</c:f>
              <c:numCache>
                <c:formatCode>General</c:formatCode>
                <c:ptCount val="6"/>
                <c:pt idx="0">
                  <c:v>9</c:v>
                </c:pt>
                <c:pt idx="1">
                  <c:v>36</c:v>
                </c:pt>
                <c:pt idx="2">
                  <c:v>59</c:v>
                </c:pt>
                <c:pt idx="3">
                  <c:v>72</c:v>
                </c:pt>
                <c:pt idx="4">
                  <c:v>79</c:v>
                </c:pt>
                <c:pt idx="5">
                  <c:v>76</c:v>
                </c:pt>
              </c:numCache>
            </c:numRef>
          </c:val>
        </c:ser>
        <c:ser>
          <c:idx val="2"/>
          <c:order val="2"/>
          <c:tx>
            <c:strRef>
              <c:f>OwnerOccup!$C$12</c:f>
              <c:strCache>
                <c:ptCount val="1"/>
                <c:pt idx="0">
                  <c:v>2014/15</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OwnerOccup!$D$9:$I$9</c:f>
              <c:strCache>
                <c:ptCount val="6"/>
                <c:pt idx="0">
                  <c:v>16-24</c:v>
                </c:pt>
                <c:pt idx="1">
                  <c:v>25-34</c:v>
                </c:pt>
                <c:pt idx="2">
                  <c:v>35-44</c:v>
                </c:pt>
                <c:pt idx="3">
                  <c:v>45-64</c:v>
                </c:pt>
                <c:pt idx="4">
                  <c:v>65-74</c:v>
                </c:pt>
                <c:pt idx="5">
                  <c:v>75+</c:v>
                </c:pt>
              </c:strCache>
            </c:strRef>
          </c:cat>
          <c:val>
            <c:numRef>
              <c:f>OwnerOccup!$D$12:$I$12</c:f>
              <c:numCache>
                <c:formatCode>General</c:formatCode>
                <c:ptCount val="6"/>
                <c:pt idx="0">
                  <c:v>8</c:v>
                </c:pt>
                <c:pt idx="1">
                  <c:v>37</c:v>
                </c:pt>
                <c:pt idx="2">
                  <c:v>59</c:v>
                </c:pt>
                <c:pt idx="3">
                  <c:v>72</c:v>
                </c:pt>
                <c:pt idx="4">
                  <c:v>78</c:v>
                </c:pt>
                <c:pt idx="5">
                  <c:v>76</c:v>
                </c:pt>
              </c:numCache>
            </c:numRef>
          </c:val>
        </c:ser>
        <c:ser>
          <c:idx val="3"/>
          <c:order val="3"/>
          <c:tx>
            <c:strRef>
              <c:f>OwnerOccup!$C$13</c:f>
              <c:strCache>
                <c:ptCount val="1"/>
                <c:pt idx="0">
                  <c:v>2015/16</c:v>
                </c:pt>
              </c:strCache>
            </c:strRef>
          </c:tx>
          <c:spPr>
            <a:solidFill>
              <a:schemeClr val="accent4"/>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OwnerOccup!$D$9:$I$9</c:f>
              <c:strCache>
                <c:ptCount val="6"/>
                <c:pt idx="0">
                  <c:v>16-24</c:v>
                </c:pt>
                <c:pt idx="1">
                  <c:v>25-34</c:v>
                </c:pt>
                <c:pt idx="2">
                  <c:v>35-44</c:v>
                </c:pt>
                <c:pt idx="3">
                  <c:v>45-64</c:v>
                </c:pt>
                <c:pt idx="4">
                  <c:v>65-74</c:v>
                </c:pt>
                <c:pt idx="5">
                  <c:v>75+</c:v>
                </c:pt>
              </c:strCache>
            </c:strRef>
          </c:cat>
          <c:val>
            <c:numRef>
              <c:f>OwnerOccup!$D$13:$I$13</c:f>
              <c:numCache>
                <c:formatCode>General</c:formatCode>
                <c:ptCount val="6"/>
                <c:pt idx="0">
                  <c:v>10</c:v>
                </c:pt>
                <c:pt idx="1">
                  <c:v>38</c:v>
                </c:pt>
                <c:pt idx="2">
                  <c:v>56</c:v>
                </c:pt>
                <c:pt idx="3">
                  <c:v>69</c:v>
                </c:pt>
                <c:pt idx="4">
                  <c:v>78</c:v>
                </c:pt>
                <c:pt idx="5">
                  <c:v>77</c:v>
                </c:pt>
              </c:numCache>
            </c:numRef>
          </c:val>
        </c:ser>
        <c:ser>
          <c:idx val="4"/>
          <c:order val="4"/>
          <c:tx>
            <c:strRef>
              <c:f>OwnerOccup!$C$14</c:f>
              <c:strCache>
                <c:ptCount val="1"/>
                <c:pt idx="0">
                  <c:v>2016/17</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OwnerOccup!$D$9:$I$9</c:f>
              <c:strCache>
                <c:ptCount val="6"/>
                <c:pt idx="0">
                  <c:v>16-24</c:v>
                </c:pt>
                <c:pt idx="1">
                  <c:v>25-34</c:v>
                </c:pt>
                <c:pt idx="2">
                  <c:v>35-44</c:v>
                </c:pt>
                <c:pt idx="3">
                  <c:v>45-64</c:v>
                </c:pt>
                <c:pt idx="4">
                  <c:v>65-74</c:v>
                </c:pt>
                <c:pt idx="5">
                  <c:v>75+</c:v>
                </c:pt>
              </c:strCache>
            </c:strRef>
          </c:cat>
          <c:val>
            <c:numRef>
              <c:f>OwnerOccup!$D$14:$I$14</c:f>
              <c:numCache>
                <c:formatCode>General</c:formatCode>
                <c:ptCount val="6"/>
                <c:pt idx="0">
                  <c:v>9</c:v>
                </c:pt>
                <c:pt idx="1">
                  <c:v>37</c:v>
                </c:pt>
                <c:pt idx="2">
                  <c:v>52</c:v>
                </c:pt>
                <c:pt idx="3">
                  <c:v>71</c:v>
                </c:pt>
                <c:pt idx="4">
                  <c:v>78</c:v>
                </c:pt>
                <c:pt idx="5">
                  <c:v>78</c:v>
                </c:pt>
              </c:numCache>
            </c:numRef>
          </c:val>
        </c:ser>
        <c:dLbls>
          <c:showLegendKey val="0"/>
          <c:showVal val="0"/>
          <c:showCatName val="0"/>
          <c:showSerName val="0"/>
          <c:showPercent val="0"/>
          <c:showBubbleSize val="0"/>
        </c:dLbls>
        <c:gapWidth val="219"/>
        <c:axId val="624480568"/>
        <c:axId val="624482136"/>
      </c:barChart>
      <c:catAx>
        <c:axId val="6244805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24482136"/>
        <c:crosses val="autoZero"/>
        <c:auto val="1"/>
        <c:lblAlgn val="ctr"/>
        <c:lblOffset val="100"/>
        <c:noMultiLvlLbl val="0"/>
      </c:catAx>
      <c:valAx>
        <c:axId val="6244821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480568"/>
        <c:crosses val="autoZero"/>
        <c:crossBetween val="between"/>
      </c:valAx>
      <c:spPr>
        <a:noFill/>
        <a:ln>
          <a:noFill/>
        </a:ln>
        <a:effectLst/>
      </c:spPr>
    </c:plotArea>
    <c:legend>
      <c:legendPos val="b"/>
      <c:layout>
        <c:manualLayout>
          <c:xMode val="edge"/>
          <c:yMode val="edge"/>
          <c:x val="0.14120909886264216"/>
          <c:y val="4.687445319335079E-2"/>
          <c:w val="0.72539243892590355"/>
          <c:h val="7.931102362204724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0800524934383203E-2"/>
          <c:y val="5.0153231893682225E-2"/>
          <c:w val="0.88320019088523027"/>
          <c:h val="0.55843352870571639"/>
        </c:manualLayout>
      </c:layout>
      <c:barChart>
        <c:barDir val="col"/>
        <c:grouping val="clustered"/>
        <c:varyColors val="0"/>
        <c:ser>
          <c:idx val="0"/>
          <c:order val="0"/>
          <c:tx>
            <c:strRef>
              <c:f>'priv_rent to gross salary'!$L$6</c:f>
              <c:strCache>
                <c:ptCount val="1"/>
                <c:pt idx="0">
                  <c:v>Q1 2017</c:v>
                </c:pt>
              </c:strCache>
            </c:strRef>
          </c:tx>
          <c:spPr>
            <a:solidFill>
              <a:schemeClr val="accent1"/>
            </a:solidFill>
            <a:ln>
              <a:noFill/>
            </a:ln>
            <a:effectLst/>
          </c:spPr>
          <c:invertIfNegative val="0"/>
          <c:cat>
            <c:strRef>
              <c:f>'priv_rent to gross salary'!$K$7:$K$38</c:f>
              <c:strCache>
                <c:ptCount val="32"/>
                <c:pt idx="0">
                  <c:v>Bromley</c:v>
                </c:pt>
                <c:pt idx="1">
                  <c:v>Bexley</c:v>
                </c:pt>
                <c:pt idx="2">
                  <c:v>Croydon</c:v>
                </c:pt>
                <c:pt idx="3">
                  <c:v>Havering</c:v>
                </c:pt>
                <c:pt idx="4">
                  <c:v>Sutton</c:v>
                </c:pt>
                <c:pt idx="5">
                  <c:v>Kingston upon Thames</c:v>
                </c:pt>
                <c:pt idx="6">
                  <c:v>Richmond upon Thames</c:v>
                </c:pt>
                <c:pt idx="7">
                  <c:v>Barnet</c:v>
                </c:pt>
                <c:pt idx="8">
                  <c:v>Redbridge</c:v>
                </c:pt>
                <c:pt idx="9">
                  <c:v>Lewisham</c:v>
                </c:pt>
                <c:pt idx="10">
                  <c:v>Hillingdon</c:v>
                </c:pt>
                <c:pt idx="11">
                  <c:v>Merton</c:v>
                </c:pt>
                <c:pt idx="12">
                  <c:v>Harrow</c:v>
                </c:pt>
                <c:pt idx="13">
                  <c:v>Barking and Dagenham</c:v>
                </c:pt>
                <c:pt idx="14">
                  <c:v>Waltham Forest</c:v>
                </c:pt>
                <c:pt idx="15">
                  <c:v>Greenwich</c:v>
                </c:pt>
                <c:pt idx="16">
                  <c:v>Hammersmith and Fulham</c:v>
                </c:pt>
                <c:pt idx="17">
                  <c:v>Hounslow</c:v>
                </c:pt>
                <c:pt idx="18">
                  <c:v>Enfield</c:v>
                </c:pt>
                <c:pt idx="19">
                  <c:v>Wandsworth</c:v>
                </c:pt>
                <c:pt idx="20">
                  <c:v>Haringey</c:v>
                </c:pt>
                <c:pt idx="21">
                  <c:v>Ealing</c:v>
                </c:pt>
                <c:pt idx="22">
                  <c:v>Southwark</c:v>
                </c:pt>
                <c:pt idx="23">
                  <c:v>Tower Hamlets</c:v>
                </c:pt>
                <c:pt idx="24">
                  <c:v>Islington</c:v>
                </c:pt>
                <c:pt idx="25">
                  <c:v>Lambeth</c:v>
                </c:pt>
                <c:pt idx="26">
                  <c:v>Camden</c:v>
                </c:pt>
                <c:pt idx="27">
                  <c:v>Hackney</c:v>
                </c:pt>
                <c:pt idx="28">
                  <c:v>Newham</c:v>
                </c:pt>
                <c:pt idx="29">
                  <c:v>Brent</c:v>
                </c:pt>
                <c:pt idx="30">
                  <c:v>Westminster</c:v>
                </c:pt>
                <c:pt idx="31">
                  <c:v>Kensington and Chelsea</c:v>
                </c:pt>
              </c:strCache>
            </c:strRef>
          </c:cat>
          <c:val>
            <c:numRef>
              <c:f>'priv_rent to gross salary'!$L$7:$L$38</c:f>
            </c:numRef>
          </c:val>
        </c:ser>
        <c:ser>
          <c:idx val="2"/>
          <c:order val="2"/>
          <c:tx>
            <c:strRef>
              <c:f>'priv_rent to gross salary'!$N$6</c:f>
              <c:strCache>
                <c:ptCount val="1"/>
                <c:pt idx="0">
                  <c:v>Median monthly private rent to median gross monthly salary</c:v>
                </c:pt>
              </c:strCache>
            </c:strRef>
          </c:tx>
          <c:spPr>
            <a:solidFill>
              <a:schemeClr val="tx2">
                <a:lumMod val="60000"/>
                <a:lumOff val="40000"/>
              </a:schemeClr>
            </a:solidFill>
            <a:ln>
              <a:noFill/>
            </a:ln>
            <a:effectLst/>
          </c:spPr>
          <c:invertIfNegative val="0"/>
          <c:dPt>
            <c:idx val="2"/>
            <c:invertIfNegative val="0"/>
            <c:bubble3D val="0"/>
            <c:spPr>
              <a:solidFill>
                <a:srgbClr val="7030A0"/>
              </a:solidFill>
              <a:ln>
                <a:noFill/>
              </a:ln>
              <a:effectLst/>
            </c:spPr>
          </c:dPt>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'priv_rent to gross salary'!$K$7:$K$38</c:f>
              <c:strCache>
                <c:ptCount val="32"/>
                <c:pt idx="0">
                  <c:v>Bromley</c:v>
                </c:pt>
                <c:pt idx="1">
                  <c:v>Bexley</c:v>
                </c:pt>
                <c:pt idx="2">
                  <c:v>Croydon</c:v>
                </c:pt>
                <c:pt idx="3">
                  <c:v>Havering</c:v>
                </c:pt>
                <c:pt idx="4">
                  <c:v>Sutton</c:v>
                </c:pt>
                <c:pt idx="5">
                  <c:v>Kingston upon Thames</c:v>
                </c:pt>
                <c:pt idx="6">
                  <c:v>Richmond upon Thames</c:v>
                </c:pt>
                <c:pt idx="7">
                  <c:v>Barnet</c:v>
                </c:pt>
                <c:pt idx="8">
                  <c:v>Redbridge</c:v>
                </c:pt>
                <c:pt idx="9">
                  <c:v>Lewisham</c:v>
                </c:pt>
                <c:pt idx="10">
                  <c:v>Hillingdon</c:v>
                </c:pt>
                <c:pt idx="11">
                  <c:v>Merton</c:v>
                </c:pt>
                <c:pt idx="12">
                  <c:v>Harrow</c:v>
                </c:pt>
                <c:pt idx="13">
                  <c:v>Barking and Dagenham</c:v>
                </c:pt>
                <c:pt idx="14">
                  <c:v>Waltham Forest</c:v>
                </c:pt>
                <c:pt idx="15">
                  <c:v>Greenwich</c:v>
                </c:pt>
                <c:pt idx="16">
                  <c:v>Hammersmith and Fulham</c:v>
                </c:pt>
                <c:pt idx="17">
                  <c:v>Hounslow</c:v>
                </c:pt>
                <c:pt idx="18">
                  <c:v>Enfield</c:v>
                </c:pt>
                <c:pt idx="19">
                  <c:v>Wandsworth</c:v>
                </c:pt>
                <c:pt idx="20">
                  <c:v>Haringey</c:v>
                </c:pt>
                <c:pt idx="21">
                  <c:v>Ealing</c:v>
                </c:pt>
                <c:pt idx="22">
                  <c:v>Southwark</c:v>
                </c:pt>
                <c:pt idx="23">
                  <c:v>Tower Hamlets</c:v>
                </c:pt>
                <c:pt idx="24">
                  <c:v>Islington</c:v>
                </c:pt>
                <c:pt idx="25">
                  <c:v>Lambeth</c:v>
                </c:pt>
                <c:pt idx="26">
                  <c:v>Camden</c:v>
                </c:pt>
                <c:pt idx="27">
                  <c:v>Hackney</c:v>
                </c:pt>
                <c:pt idx="28">
                  <c:v>Newham</c:v>
                </c:pt>
                <c:pt idx="29">
                  <c:v>Brent</c:v>
                </c:pt>
                <c:pt idx="30">
                  <c:v>Westminster</c:v>
                </c:pt>
                <c:pt idx="31">
                  <c:v>Kensington and Chelsea</c:v>
                </c:pt>
              </c:strCache>
            </c:strRef>
          </c:cat>
          <c:val>
            <c:numRef>
              <c:f>'priv_rent to gross salary'!$N$7:$N$38</c:f>
              <c:numCache>
                <c:formatCode>0.00%</c:formatCode>
                <c:ptCount val="32"/>
                <c:pt idx="0">
                  <c:v>0.34082489503581131</c:v>
                </c:pt>
                <c:pt idx="1">
                  <c:v>0.38209456420711785</c:v>
                </c:pt>
                <c:pt idx="2">
                  <c:v>0.3902900564737885</c:v>
                </c:pt>
                <c:pt idx="3">
                  <c:v>0.4003396821545554</c:v>
                </c:pt>
                <c:pt idx="4">
                  <c:v>0.40748286719762922</c:v>
                </c:pt>
                <c:pt idx="5">
                  <c:v>0.41198996434702234</c:v>
                </c:pt>
                <c:pt idx="6">
                  <c:v>0.42072228896462111</c:v>
                </c:pt>
                <c:pt idx="7">
                  <c:v>0.43280790809511088</c:v>
                </c:pt>
                <c:pt idx="8">
                  <c:v>0.43306968211482366</c:v>
                </c:pt>
                <c:pt idx="9">
                  <c:v>0.44650674137629137</c:v>
                </c:pt>
                <c:pt idx="10">
                  <c:v>0.45405814466796995</c:v>
                </c:pt>
                <c:pt idx="11">
                  <c:v>0.47157894736842104</c:v>
                </c:pt>
                <c:pt idx="12">
                  <c:v>0.47308939053237153</c:v>
                </c:pt>
                <c:pt idx="13">
                  <c:v>0.47734279179235589</c:v>
                </c:pt>
                <c:pt idx="14">
                  <c:v>0.47824007651841222</c:v>
                </c:pt>
                <c:pt idx="15">
                  <c:v>0.484549277747303</c:v>
                </c:pt>
                <c:pt idx="16">
                  <c:v>0.48612669209483211</c:v>
                </c:pt>
                <c:pt idx="17">
                  <c:v>0.4911220249338874</c:v>
                </c:pt>
                <c:pt idx="18">
                  <c:v>0.49482535575679176</c:v>
                </c:pt>
                <c:pt idx="19">
                  <c:v>0.49886598708969915</c:v>
                </c:pt>
                <c:pt idx="20">
                  <c:v>0.50678733031674206</c:v>
                </c:pt>
                <c:pt idx="21">
                  <c:v>0.50922978994271162</c:v>
                </c:pt>
                <c:pt idx="22">
                  <c:v>0.51243965837356109</c:v>
                </c:pt>
                <c:pt idx="23">
                  <c:v>0.52559636199239423</c:v>
                </c:pt>
                <c:pt idx="24">
                  <c:v>0.54088778895266176</c:v>
                </c:pt>
                <c:pt idx="25">
                  <c:v>0.541374392409116</c:v>
                </c:pt>
                <c:pt idx="26">
                  <c:v>0.5444347500934813</c:v>
                </c:pt>
                <c:pt idx="27">
                  <c:v>0.55745211116585036</c:v>
                </c:pt>
                <c:pt idx="28">
                  <c:v>0.56478863526653333</c:v>
                </c:pt>
                <c:pt idx="29">
                  <c:v>0.57401115033154093</c:v>
                </c:pt>
                <c:pt idx="30">
                  <c:v>0.629122977571002</c:v>
                </c:pt>
                <c:pt idx="31">
                  <c:v>0.74536646073158808</c:v>
                </c:pt>
              </c:numCache>
            </c:numRef>
          </c:val>
        </c:ser>
        <c:dLbls>
          <c:showLegendKey val="0"/>
          <c:showVal val="0"/>
          <c:showCatName val="0"/>
          <c:showSerName val="0"/>
          <c:showPercent val="0"/>
          <c:showBubbleSize val="0"/>
        </c:dLbls>
        <c:gapWidth val="72"/>
        <c:axId val="624484488"/>
        <c:axId val="624486840"/>
        <c:extLst>
          <c:ext xmlns:c15="http://schemas.microsoft.com/office/drawing/2012/chart" uri="{02D57815-91ED-43cb-92C2-25804820EDAC}">
            <c15:filteredBarSeries>
              <c15:ser>
                <c:idx val="1"/>
                <c:order val="1"/>
                <c:tx>
                  <c:strRef>
                    <c:extLst>
                      <c:ext uri="{02D57815-91ED-43cb-92C2-25804820EDAC}">
                        <c15:formulaRef>
                          <c15:sqref>'priv_rent to gross salary'!$M$6</c15:sqref>
                        </c15:formulaRef>
                      </c:ext>
                    </c:extLst>
                    <c:strCache>
                      <c:ptCount val="1"/>
                      <c:pt idx="0">
                        <c:v>Q3 2017</c:v>
                      </c:pt>
                    </c:strCache>
                  </c:strRef>
                </c:tx>
                <c:spPr>
                  <a:solidFill>
                    <a:schemeClr val="tx2">
                      <a:lumMod val="60000"/>
                      <a:lumOff val="40000"/>
                    </a:schemeClr>
                  </a:solidFill>
                  <a:ln>
                    <a:noFill/>
                  </a:ln>
                  <a:effectLst/>
                </c:spPr>
                <c:invertIfNegative val="0"/>
                <c:cat>
                  <c:strRef>
                    <c:extLst>
                      <c:ext uri="{02D57815-91ED-43cb-92C2-25804820EDAC}">
                        <c15:formulaRef>
                          <c15:sqref>'priv_rent to gross salary'!$K$7:$K$38</c15:sqref>
                        </c15:formulaRef>
                      </c:ext>
                    </c:extLst>
                    <c:strCache>
                      <c:ptCount val="32"/>
                      <c:pt idx="0">
                        <c:v>Bromley</c:v>
                      </c:pt>
                      <c:pt idx="1">
                        <c:v>Bexley</c:v>
                      </c:pt>
                      <c:pt idx="2">
                        <c:v>Croydon</c:v>
                      </c:pt>
                      <c:pt idx="3">
                        <c:v>Havering</c:v>
                      </c:pt>
                      <c:pt idx="4">
                        <c:v>Sutton</c:v>
                      </c:pt>
                      <c:pt idx="5">
                        <c:v>Kingston upon Thames</c:v>
                      </c:pt>
                      <c:pt idx="6">
                        <c:v>Richmond upon Thames</c:v>
                      </c:pt>
                      <c:pt idx="7">
                        <c:v>Barnet</c:v>
                      </c:pt>
                      <c:pt idx="8">
                        <c:v>Redbridge</c:v>
                      </c:pt>
                      <c:pt idx="9">
                        <c:v>Lewisham</c:v>
                      </c:pt>
                      <c:pt idx="10">
                        <c:v>Hillingdon</c:v>
                      </c:pt>
                      <c:pt idx="11">
                        <c:v>Merton</c:v>
                      </c:pt>
                      <c:pt idx="12">
                        <c:v>Harrow</c:v>
                      </c:pt>
                      <c:pt idx="13">
                        <c:v>Barking and Dagenham</c:v>
                      </c:pt>
                      <c:pt idx="14">
                        <c:v>Waltham Forest</c:v>
                      </c:pt>
                      <c:pt idx="15">
                        <c:v>Greenwich</c:v>
                      </c:pt>
                      <c:pt idx="16">
                        <c:v>Hammersmith and Fulham</c:v>
                      </c:pt>
                      <c:pt idx="17">
                        <c:v>Hounslow</c:v>
                      </c:pt>
                      <c:pt idx="18">
                        <c:v>Enfield</c:v>
                      </c:pt>
                      <c:pt idx="19">
                        <c:v>Wandsworth</c:v>
                      </c:pt>
                      <c:pt idx="20">
                        <c:v>Haringey</c:v>
                      </c:pt>
                      <c:pt idx="21">
                        <c:v>Ealing</c:v>
                      </c:pt>
                      <c:pt idx="22">
                        <c:v>Southwark</c:v>
                      </c:pt>
                      <c:pt idx="23">
                        <c:v>Tower Hamlets</c:v>
                      </c:pt>
                      <c:pt idx="24">
                        <c:v>Islington</c:v>
                      </c:pt>
                      <c:pt idx="25">
                        <c:v>Lambeth</c:v>
                      </c:pt>
                      <c:pt idx="26">
                        <c:v>Camden</c:v>
                      </c:pt>
                      <c:pt idx="27">
                        <c:v>Hackney</c:v>
                      </c:pt>
                      <c:pt idx="28">
                        <c:v>Newham</c:v>
                      </c:pt>
                      <c:pt idx="29">
                        <c:v>Brent</c:v>
                      </c:pt>
                      <c:pt idx="30">
                        <c:v>Westminster</c:v>
                      </c:pt>
                      <c:pt idx="31">
                        <c:v>Kensington and Chelsea</c:v>
                      </c:pt>
                    </c:strCache>
                  </c:strRef>
                </c:cat>
                <c:val>
                  <c:numRef>
                    <c:extLst>
                      <c:ext uri="{02D57815-91ED-43cb-92C2-25804820EDAC}">
                        <c15:formulaRef>
                          <c15:sqref>'priv_rent to gross salary'!$M$7:$M$38</c15:sqref>
                        </c15:formulaRef>
                      </c:ext>
                    </c:extLst>
                    <c:numCache>
                      <c:formatCode>#,##0</c:formatCode>
                      <c:ptCount val="32"/>
                      <c:pt idx="0">
                        <c:v>1150</c:v>
                      </c:pt>
                      <c:pt idx="1">
                        <c:v>1062</c:v>
                      </c:pt>
                      <c:pt idx="2">
                        <c:v>1100</c:v>
                      </c:pt>
                      <c:pt idx="3">
                        <c:v>1100</c:v>
                      </c:pt>
                      <c:pt idx="4">
                        <c:v>1100</c:v>
                      </c:pt>
                      <c:pt idx="5">
                        <c:v>1300</c:v>
                      </c:pt>
                      <c:pt idx="6">
                        <c:v>1430</c:v>
                      </c:pt>
                      <c:pt idx="7">
                        <c:v>1350</c:v>
                      </c:pt>
                      <c:pt idx="8">
                        <c:v>1200</c:v>
                      </c:pt>
                      <c:pt idx="9">
                        <c:v>1275</c:v>
                      </c:pt>
                      <c:pt idx="10">
                        <c:v>1200</c:v>
                      </c:pt>
                      <c:pt idx="11">
                        <c:v>1400</c:v>
                      </c:pt>
                      <c:pt idx="12">
                        <c:v>1350</c:v>
                      </c:pt>
                      <c:pt idx="13">
                        <c:v>1200</c:v>
                      </c:pt>
                      <c:pt idx="14">
                        <c:v>1250</c:v>
                      </c:pt>
                      <c:pt idx="15">
                        <c:v>1325</c:v>
                      </c:pt>
                      <c:pt idx="16">
                        <c:v>1625</c:v>
                      </c:pt>
                      <c:pt idx="17">
                        <c:v>1300</c:v>
                      </c:pt>
                      <c:pt idx="18">
                        <c:v>1275</c:v>
                      </c:pt>
                      <c:pt idx="19">
                        <c:v>1668</c:v>
                      </c:pt>
                      <c:pt idx="20">
                        <c:v>1400</c:v>
                      </c:pt>
                      <c:pt idx="21">
                        <c:v>1400</c:v>
                      </c:pt>
                      <c:pt idx="22">
                        <c:v>1495</c:v>
                      </c:pt>
                      <c:pt idx="23">
                        <c:v>1647</c:v>
                      </c:pt>
                      <c:pt idx="24">
                        <c:v>1712</c:v>
                      </c:pt>
                      <c:pt idx="25">
                        <c:v>1550</c:v>
                      </c:pt>
                      <c:pt idx="26">
                        <c:v>1820</c:v>
                      </c:pt>
                      <c:pt idx="27">
                        <c:v>1603</c:v>
                      </c:pt>
                      <c:pt idx="28">
                        <c:v>1365</c:v>
                      </c:pt>
                      <c:pt idx="29">
                        <c:v>1450</c:v>
                      </c:pt>
                      <c:pt idx="30">
                        <c:v>2265</c:v>
                      </c:pt>
                      <c:pt idx="31">
                        <c:v>2795</c:v>
                      </c:pt>
                    </c:numCache>
                  </c:numRef>
                </c:val>
              </c15:ser>
            </c15:filteredBarSeries>
          </c:ext>
        </c:extLst>
      </c:barChart>
      <c:catAx>
        <c:axId val="624484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624486840"/>
        <c:crosses val="autoZero"/>
        <c:auto val="1"/>
        <c:lblAlgn val="ctr"/>
        <c:lblOffset val="100"/>
        <c:noMultiLvlLbl val="0"/>
      </c:catAx>
      <c:valAx>
        <c:axId val="62448684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484488"/>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HOMELESSNESS!$C$8</c:f>
              <c:strCache>
                <c:ptCount val="1"/>
                <c:pt idx="0">
                  <c:v>Number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HOMELESSNESS!$B$9:$B$13</c:f>
              <c:strCache>
                <c:ptCount val="5"/>
                <c:pt idx="0">
                  <c:v>2013/2014</c:v>
                </c:pt>
                <c:pt idx="1">
                  <c:v>2014/2015</c:v>
                </c:pt>
                <c:pt idx="2">
                  <c:v>2015/2016</c:v>
                </c:pt>
                <c:pt idx="3">
                  <c:v>2016/2017</c:v>
                </c:pt>
                <c:pt idx="4">
                  <c:v>2017/2018</c:v>
                </c:pt>
              </c:strCache>
            </c:strRef>
          </c:cat>
          <c:val>
            <c:numRef>
              <c:f>HOMELESSNESS!$C$9:$C$13</c:f>
              <c:numCache>
                <c:formatCode>#,##0</c:formatCode>
                <c:ptCount val="5"/>
                <c:pt idx="0">
                  <c:v>2414</c:v>
                </c:pt>
                <c:pt idx="1">
                  <c:v>2770</c:v>
                </c:pt>
                <c:pt idx="2">
                  <c:v>2918</c:v>
                </c:pt>
                <c:pt idx="3">
                  <c:v>2449</c:v>
                </c:pt>
                <c:pt idx="4">
                  <c:v>2005</c:v>
                </c:pt>
              </c:numCache>
            </c:numRef>
          </c:val>
        </c:ser>
        <c:dLbls>
          <c:showLegendKey val="0"/>
          <c:showVal val="0"/>
          <c:showCatName val="0"/>
          <c:showSerName val="0"/>
          <c:showPercent val="0"/>
          <c:showBubbleSize val="0"/>
        </c:dLbls>
        <c:gapWidth val="60"/>
        <c:overlap val="-27"/>
        <c:axId val="624487232"/>
        <c:axId val="624480960"/>
      </c:barChart>
      <c:catAx>
        <c:axId val="624487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24480960"/>
        <c:crosses val="autoZero"/>
        <c:auto val="1"/>
        <c:lblAlgn val="ctr"/>
        <c:lblOffset val="100"/>
        <c:noMultiLvlLbl val="0"/>
      </c:catAx>
      <c:valAx>
        <c:axId val="6244809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24487232"/>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sz="1200"/>
      </a:pPr>
      <a:endParaRPr lang="en-US"/>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4456036745406818E-2"/>
          <c:y val="0.18518518518518517"/>
          <c:w val="0.88776618547681552"/>
          <c:h val="0.68021580635753864"/>
        </c:manualLayout>
      </c:layout>
      <c:barChart>
        <c:barDir val="col"/>
        <c:grouping val="clustered"/>
        <c:varyColors val="0"/>
        <c:ser>
          <c:idx val="0"/>
          <c:order val="0"/>
          <c:tx>
            <c:strRef>
              <c:f>HOMELESSNESS!$C$39</c:f>
              <c:strCache>
                <c:ptCount val="1"/>
                <c:pt idx="0">
                  <c:v>White</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HOMELESSNESS!$B$40:$B$44</c:f>
              <c:strCache>
                <c:ptCount val="5"/>
                <c:pt idx="0">
                  <c:v>2013/2014</c:v>
                </c:pt>
                <c:pt idx="1">
                  <c:v>2014/2015</c:v>
                </c:pt>
                <c:pt idx="2">
                  <c:v>2015/2016</c:v>
                </c:pt>
                <c:pt idx="3">
                  <c:v>2016/2017</c:v>
                </c:pt>
                <c:pt idx="4">
                  <c:v>2017/2018</c:v>
                </c:pt>
              </c:strCache>
            </c:strRef>
          </c:cat>
          <c:val>
            <c:numRef>
              <c:f>HOMELESSNESS!$C$40:$C$44</c:f>
              <c:numCache>
                <c:formatCode>0%</c:formatCode>
                <c:ptCount val="5"/>
                <c:pt idx="0">
                  <c:v>0.24671916010498687</c:v>
                </c:pt>
                <c:pt idx="1">
                  <c:v>0.22386363636363638</c:v>
                </c:pt>
                <c:pt idx="2">
                  <c:v>0.21868787276341947</c:v>
                </c:pt>
                <c:pt idx="3">
                  <c:v>0.18198874296435272</c:v>
                </c:pt>
                <c:pt idx="4">
                  <c:v>0.24966622162883845</c:v>
                </c:pt>
              </c:numCache>
            </c:numRef>
          </c:val>
        </c:ser>
        <c:ser>
          <c:idx val="1"/>
          <c:order val="1"/>
          <c:tx>
            <c:strRef>
              <c:f>HOMELESSNESS!$D$39</c:f>
              <c:strCache>
                <c:ptCount val="1"/>
                <c:pt idx="0">
                  <c:v>Black</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HOMELESSNESS!$B$40:$B$44</c:f>
              <c:strCache>
                <c:ptCount val="5"/>
                <c:pt idx="0">
                  <c:v>2013/2014</c:v>
                </c:pt>
                <c:pt idx="1">
                  <c:v>2014/2015</c:v>
                </c:pt>
                <c:pt idx="2">
                  <c:v>2015/2016</c:v>
                </c:pt>
                <c:pt idx="3">
                  <c:v>2016/2017</c:v>
                </c:pt>
                <c:pt idx="4">
                  <c:v>2017/2018</c:v>
                </c:pt>
              </c:strCache>
            </c:strRef>
          </c:cat>
          <c:val>
            <c:numRef>
              <c:f>HOMELESSNESS!$D$40:$D$44</c:f>
              <c:numCache>
                <c:formatCode>0%</c:formatCode>
                <c:ptCount val="5"/>
                <c:pt idx="0">
                  <c:v>0.47900262467191601</c:v>
                </c:pt>
                <c:pt idx="1">
                  <c:v>0.50568181818181823</c:v>
                </c:pt>
                <c:pt idx="2">
                  <c:v>0.49801192842942343</c:v>
                </c:pt>
                <c:pt idx="3">
                  <c:v>0.48499061913696062</c:v>
                </c:pt>
                <c:pt idx="4">
                  <c:v>0.46061415220293728</c:v>
                </c:pt>
              </c:numCache>
            </c:numRef>
          </c:val>
        </c:ser>
        <c:ser>
          <c:idx val="2"/>
          <c:order val="2"/>
          <c:tx>
            <c:strRef>
              <c:f>HOMELESSNESS!$E$39</c:f>
              <c:strCache>
                <c:ptCount val="1"/>
                <c:pt idx="0">
                  <c:v>Asian</c:v>
                </c:pt>
              </c:strCache>
            </c:strRef>
          </c:tx>
          <c:spPr>
            <a:solidFill>
              <a:schemeClr val="accent3"/>
            </a:solidFill>
            <a:ln>
              <a:noFill/>
            </a:ln>
            <a:effectLst/>
          </c:spPr>
          <c:invertIfNegative val="0"/>
          <c:dLbls>
            <c:dLbl>
              <c:idx val="4"/>
              <c:layout>
                <c:manualLayout>
                  <c:x val="5.7871509550888409E-3"/>
                  <c:y val="-2.4350649350649352E-2"/>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6.2369905584718562E-2"/>
                      <c:h val="5.2699023417527358E-2"/>
                    </c:manualLayout>
                  </c15:layout>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HOMELESSNESS!$B$40:$B$44</c:f>
              <c:strCache>
                <c:ptCount val="5"/>
                <c:pt idx="0">
                  <c:v>2013/2014</c:v>
                </c:pt>
                <c:pt idx="1">
                  <c:v>2014/2015</c:v>
                </c:pt>
                <c:pt idx="2">
                  <c:v>2015/2016</c:v>
                </c:pt>
                <c:pt idx="3">
                  <c:v>2016/2017</c:v>
                </c:pt>
                <c:pt idx="4">
                  <c:v>2017/2018</c:v>
                </c:pt>
              </c:strCache>
            </c:strRef>
          </c:cat>
          <c:val>
            <c:numRef>
              <c:f>HOMELESSNESS!$E$40:$E$44</c:f>
              <c:numCache>
                <c:formatCode>0%</c:formatCode>
                <c:ptCount val="5"/>
                <c:pt idx="0">
                  <c:v>0.10498687664041995</c:v>
                </c:pt>
                <c:pt idx="1">
                  <c:v>8.0681818181818188E-2</c:v>
                </c:pt>
                <c:pt idx="2">
                  <c:v>0.10039761431411531</c:v>
                </c:pt>
                <c:pt idx="3">
                  <c:v>0.12195121951219512</c:v>
                </c:pt>
                <c:pt idx="4">
                  <c:v>0.10947930574098798</c:v>
                </c:pt>
              </c:numCache>
            </c:numRef>
          </c:val>
        </c:ser>
        <c:ser>
          <c:idx val="3"/>
          <c:order val="3"/>
          <c:tx>
            <c:strRef>
              <c:f>HOMELESSNESS!$F$39</c:f>
              <c:strCache>
                <c:ptCount val="1"/>
                <c:pt idx="0">
                  <c:v>Mixed</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HOMELESSNESS!$B$40:$B$44</c:f>
              <c:strCache>
                <c:ptCount val="5"/>
                <c:pt idx="0">
                  <c:v>2013/2014</c:v>
                </c:pt>
                <c:pt idx="1">
                  <c:v>2014/2015</c:v>
                </c:pt>
                <c:pt idx="2">
                  <c:v>2015/2016</c:v>
                </c:pt>
                <c:pt idx="3">
                  <c:v>2016/2017</c:v>
                </c:pt>
                <c:pt idx="4">
                  <c:v>2017/2018</c:v>
                </c:pt>
              </c:strCache>
            </c:strRef>
          </c:cat>
          <c:val>
            <c:numRef>
              <c:f>HOMELESSNESS!$F$40:$F$44</c:f>
              <c:numCache>
                <c:formatCode>0%</c:formatCode>
                <c:ptCount val="5"/>
                <c:pt idx="0">
                  <c:v>6.2992125984251968E-2</c:v>
                </c:pt>
                <c:pt idx="1">
                  <c:v>5.4545454545454543E-2</c:v>
                </c:pt>
                <c:pt idx="2">
                  <c:v>6.560636182902585E-2</c:v>
                </c:pt>
                <c:pt idx="3">
                  <c:v>7.3170731707317069E-2</c:v>
                </c:pt>
                <c:pt idx="4">
                  <c:v>8.0106809078771699E-2</c:v>
                </c:pt>
              </c:numCache>
            </c:numRef>
          </c:val>
        </c:ser>
        <c:ser>
          <c:idx val="4"/>
          <c:order val="4"/>
          <c:tx>
            <c:strRef>
              <c:f>HOMELESSNESS!$G$39</c:f>
              <c:strCache>
                <c:ptCount val="1"/>
                <c:pt idx="0">
                  <c:v>Other and not stated</c:v>
                </c:pt>
              </c:strCache>
            </c:strRef>
          </c:tx>
          <c:spPr>
            <a:solidFill>
              <a:schemeClr val="accent5"/>
            </a:solidFill>
            <a:ln>
              <a:noFill/>
            </a:ln>
            <a:effectLst/>
          </c:spPr>
          <c:invertIfNegative val="0"/>
          <c:dLbls>
            <c:dLbl>
              <c:idx val="4"/>
              <c:layout>
                <c:manualLayout>
                  <c:x val="0"/>
                  <c:y val="-1.6233766233766232E-2"/>
                </c:manualLayout>
              </c:layout>
              <c:dLblPos val="outEnd"/>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HOMELESSNESS!$B$40:$B$44</c:f>
              <c:strCache>
                <c:ptCount val="5"/>
                <c:pt idx="0">
                  <c:v>2013/2014</c:v>
                </c:pt>
                <c:pt idx="1">
                  <c:v>2014/2015</c:v>
                </c:pt>
                <c:pt idx="2">
                  <c:v>2015/2016</c:v>
                </c:pt>
                <c:pt idx="3">
                  <c:v>2016/2017</c:v>
                </c:pt>
                <c:pt idx="4">
                  <c:v>2017/2018</c:v>
                </c:pt>
              </c:strCache>
            </c:strRef>
          </c:cat>
          <c:val>
            <c:numRef>
              <c:f>HOMELESSNESS!$G$40:$G$44</c:f>
              <c:numCache>
                <c:formatCode>0%</c:formatCode>
                <c:ptCount val="5"/>
                <c:pt idx="0">
                  <c:v>0.1062992125984252</c:v>
                </c:pt>
                <c:pt idx="1">
                  <c:v>0.13522727272727272</c:v>
                </c:pt>
                <c:pt idx="2">
                  <c:v>0.1172962226640159</c:v>
                </c:pt>
                <c:pt idx="3">
                  <c:v>0.13789868667917449</c:v>
                </c:pt>
                <c:pt idx="4">
                  <c:v>0.10013351134846461</c:v>
                </c:pt>
              </c:numCache>
            </c:numRef>
          </c:val>
        </c:ser>
        <c:dLbls>
          <c:showLegendKey val="0"/>
          <c:showVal val="0"/>
          <c:showCatName val="0"/>
          <c:showSerName val="0"/>
          <c:showPercent val="0"/>
          <c:showBubbleSize val="0"/>
        </c:dLbls>
        <c:gapWidth val="81"/>
        <c:axId val="624480176"/>
        <c:axId val="624481744"/>
      </c:barChart>
      <c:catAx>
        <c:axId val="624480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24481744"/>
        <c:crosses val="autoZero"/>
        <c:auto val="1"/>
        <c:lblAlgn val="ctr"/>
        <c:lblOffset val="100"/>
        <c:noMultiLvlLbl val="0"/>
      </c:catAx>
      <c:valAx>
        <c:axId val="624481744"/>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24480176"/>
        <c:crosses val="autoZero"/>
        <c:crossBetween val="between"/>
        <c:majorUnit val="0.2"/>
      </c:valAx>
      <c:spPr>
        <a:noFill/>
        <a:ln>
          <a:noFill/>
        </a:ln>
        <a:effectLst/>
      </c:spPr>
    </c:plotArea>
    <c:legend>
      <c:legendPos val="b"/>
      <c:layout>
        <c:manualLayout>
          <c:xMode val="edge"/>
          <c:yMode val="edge"/>
          <c:x val="7.5925152414638916E-2"/>
          <c:y val="2.545690674448442E-2"/>
          <c:w val="0.89015014841542095"/>
          <c:h val="0.1260439988931096"/>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200"/>
      </a:pPr>
      <a:endParaRPr lang="en-US"/>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9247594050743664E-2"/>
          <c:y val="0.17592592592592593"/>
          <c:w val="0.89853018372703408"/>
          <c:h val="0.72651210265383492"/>
        </c:manualLayout>
      </c:layout>
      <c:barChart>
        <c:barDir val="col"/>
        <c:grouping val="clustered"/>
        <c:varyColors val="0"/>
        <c:ser>
          <c:idx val="0"/>
          <c:order val="0"/>
          <c:tx>
            <c:strRef>
              <c:f>HOMELESSNESS!$C$55</c:f>
              <c:strCache>
                <c:ptCount val="1"/>
                <c:pt idx="0">
                  <c:v>16-24 yrs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HOMELESSNESS!$B$56:$B$60</c:f>
              <c:strCache>
                <c:ptCount val="5"/>
                <c:pt idx="0">
                  <c:v>2013/2014</c:v>
                </c:pt>
                <c:pt idx="1">
                  <c:v>2014/2015</c:v>
                </c:pt>
                <c:pt idx="2">
                  <c:v>2015/2016</c:v>
                </c:pt>
                <c:pt idx="3">
                  <c:v>2016/2017</c:v>
                </c:pt>
                <c:pt idx="4">
                  <c:v>2017/2018</c:v>
                </c:pt>
              </c:strCache>
            </c:strRef>
          </c:cat>
          <c:val>
            <c:numRef>
              <c:f>HOMELESSNESS!$C$56:$C$60</c:f>
              <c:numCache>
                <c:formatCode>General</c:formatCode>
                <c:ptCount val="5"/>
                <c:pt idx="0">
                  <c:v>205</c:v>
                </c:pt>
                <c:pt idx="1">
                  <c:v>182</c:v>
                </c:pt>
                <c:pt idx="2">
                  <c:v>207</c:v>
                </c:pt>
                <c:pt idx="3">
                  <c:v>218</c:v>
                </c:pt>
                <c:pt idx="4">
                  <c:v>159</c:v>
                </c:pt>
              </c:numCache>
            </c:numRef>
          </c:val>
        </c:ser>
        <c:ser>
          <c:idx val="1"/>
          <c:order val="1"/>
          <c:tx>
            <c:strRef>
              <c:f>HOMELESSNESS!$D$55</c:f>
              <c:strCache>
                <c:ptCount val="1"/>
                <c:pt idx="0">
                  <c:v>25-44 yrs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HOMELESSNESS!$B$56:$B$60</c:f>
              <c:strCache>
                <c:ptCount val="5"/>
                <c:pt idx="0">
                  <c:v>2013/2014</c:v>
                </c:pt>
                <c:pt idx="1">
                  <c:v>2014/2015</c:v>
                </c:pt>
                <c:pt idx="2">
                  <c:v>2015/2016</c:v>
                </c:pt>
                <c:pt idx="3">
                  <c:v>2016/2017</c:v>
                </c:pt>
                <c:pt idx="4">
                  <c:v>2017/2018</c:v>
                </c:pt>
              </c:strCache>
            </c:strRef>
          </c:cat>
          <c:val>
            <c:numRef>
              <c:f>HOMELESSNESS!$D$56:$D$60</c:f>
              <c:numCache>
                <c:formatCode>General</c:formatCode>
                <c:ptCount val="5"/>
                <c:pt idx="0">
                  <c:v>437</c:v>
                </c:pt>
                <c:pt idx="1">
                  <c:v>541</c:v>
                </c:pt>
                <c:pt idx="2">
                  <c:v>610</c:v>
                </c:pt>
                <c:pt idx="3">
                  <c:v>589</c:v>
                </c:pt>
                <c:pt idx="4">
                  <c:v>419</c:v>
                </c:pt>
              </c:numCache>
            </c:numRef>
          </c:val>
        </c:ser>
        <c:ser>
          <c:idx val="2"/>
          <c:order val="2"/>
          <c:tx>
            <c:strRef>
              <c:f>HOMELESSNESS!$E$55</c:f>
              <c:strCache>
                <c:ptCount val="1"/>
                <c:pt idx="0">
                  <c:v>45-59 yrs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HOMELESSNESS!$B$56:$B$60</c:f>
              <c:strCache>
                <c:ptCount val="5"/>
                <c:pt idx="0">
                  <c:v>2013/2014</c:v>
                </c:pt>
                <c:pt idx="1">
                  <c:v>2014/2015</c:v>
                </c:pt>
                <c:pt idx="2">
                  <c:v>2015/2016</c:v>
                </c:pt>
                <c:pt idx="3">
                  <c:v>2016/2017</c:v>
                </c:pt>
                <c:pt idx="4">
                  <c:v>2017/2018</c:v>
                </c:pt>
              </c:strCache>
            </c:strRef>
          </c:cat>
          <c:val>
            <c:numRef>
              <c:f>HOMELESSNESS!$E$56:$E$60</c:f>
              <c:numCache>
                <c:formatCode>General</c:formatCode>
                <c:ptCount val="5"/>
                <c:pt idx="0">
                  <c:v>102</c:v>
                </c:pt>
                <c:pt idx="1">
                  <c:v>131</c:v>
                </c:pt>
                <c:pt idx="2">
                  <c:v>161</c:v>
                </c:pt>
                <c:pt idx="3">
                  <c:v>200</c:v>
                </c:pt>
                <c:pt idx="4">
                  <c:v>150</c:v>
                </c:pt>
              </c:numCache>
            </c:numRef>
          </c:val>
        </c:ser>
        <c:dLbls>
          <c:showLegendKey val="0"/>
          <c:showVal val="0"/>
          <c:showCatName val="0"/>
          <c:showSerName val="0"/>
          <c:showPercent val="0"/>
          <c:showBubbleSize val="0"/>
        </c:dLbls>
        <c:gapWidth val="134"/>
        <c:axId val="624482528"/>
        <c:axId val="624485664"/>
      </c:barChart>
      <c:catAx>
        <c:axId val="624482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485664"/>
        <c:crosses val="autoZero"/>
        <c:auto val="1"/>
        <c:lblAlgn val="ctr"/>
        <c:lblOffset val="100"/>
        <c:noMultiLvlLbl val="0"/>
      </c:catAx>
      <c:valAx>
        <c:axId val="624485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482528"/>
        <c:crosses val="autoZero"/>
        <c:crossBetween val="between"/>
      </c:valAx>
      <c:spPr>
        <a:noFill/>
        <a:ln>
          <a:noFill/>
        </a:ln>
        <a:effectLst/>
      </c:spPr>
    </c:plotArea>
    <c:legend>
      <c:legendPos val="b"/>
      <c:layout>
        <c:manualLayout>
          <c:xMode val="edge"/>
          <c:yMode val="edge"/>
          <c:x val="0.24007502187226595"/>
          <c:y val="2.8355934674832269E-2"/>
          <c:w val="0.51707195975503062"/>
          <c:h val="0.10127369495479729"/>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122703412073491E-2"/>
          <c:y val="0.15740740740740741"/>
          <c:w val="0.87731882660930272"/>
          <c:h val="0.67961080127527818"/>
        </c:manualLayout>
      </c:layout>
      <c:lineChart>
        <c:grouping val="standard"/>
        <c:varyColors val="0"/>
        <c:ser>
          <c:idx val="0"/>
          <c:order val="0"/>
          <c:tx>
            <c:strRef>
              <c:f>Breastfeeding!$B$7</c:f>
              <c:strCache>
                <c:ptCount val="1"/>
                <c:pt idx="0">
                  <c:v>Croydon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Breastfeeding!$A$8:$A$13</c:f>
              <c:strCache>
                <c:ptCount val="6"/>
                <c:pt idx="0">
                  <c:v>2010/2011</c:v>
                </c:pt>
                <c:pt idx="1">
                  <c:v>2011/2012</c:v>
                </c:pt>
                <c:pt idx="2">
                  <c:v>2012/2013</c:v>
                </c:pt>
                <c:pt idx="3">
                  <c:v>2013/2014</c:v>
                </c:pt>
                <c:pt idx="4">
                  <c:v>2014/2015</c:v>
                </c:pt>
                <c:pt idx="5">
                  <c:v>2015/2016</c:v>
                </c:pt>
              </c:strCache>
            </c:strRef>
          </c:cat>
          <c:val>
            <c:numRef>
              <c:f>Breastfeeding!$B$8:$B$13</c:f>
              <c:numCache>
                <c:formatCode>0.0%</c:formatCode>
                <c:ptCount val="6"/>
                <c:pt idx="0">
                  <c:v>0.69699999999999995</c:v>
                </c:pt>
                <c:pt idx="1">
                  <c:v>0.65700000000000003</c:v>
                </c:pt>
                <c:pt idx="2">
                  <c:v>0.67800000000000005</c:v>
                </c:pt>
                <c:pt idx="3">
                  <c:v>0.70199999999999996</c:v>
                </c:pt>
                <c:pt idx="4">
                  <c:v>0.68500000000000005</c:v>
                </c:pt>
                <c:pt idx="5">
                  <c:v>0.65900000000000003</c:v>
                </c:pt>
              </c:numCache>
            </c:numRef>
          </c:val>
          <c:smooth val="0"/>
        </c:ser>
        <c:ser>
          <c:idx val="1"/>
          <c:order val="1"/>
          <c:tx>
            <c:strRef>
              <c:f>Breastfeeding!$C$7</c:f>
              <c:strCache>
                <c:ptCount val="1"/>
                <c:pt idx="0">
                  <c:v>England</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Breastfeeding!$A$8:$A$13</c:f>
              <c:strCache>
                <c:ptCount val="6"/>
                <c:pt idx="0">
                  <c:v>2010/2011</c:v>
                </c:pt>
                <c:pt idx="1">
                  <c:v>2011/2012</c:v>
                </c:pt>
                <c:pt idx="2">
                  <c:v>2012/2013</c:v>
                </c:pt>
                <c:pt idx="3">
                  <c:v>2013/2014</c:v>
                </c:pt>
                <c:pt idx="4">
                  <c:v>2014/2015</c:v>
                </c:pt>
                <c:pt idx="5">
                  <c:v>2015/2016</c:v>
                </c:pt>
              </c:strCache>
            </c:strRef>
          </c:cat>
          <c:val>
            <c:numRef>
              <c:f>Breastfeeding!$C$8:$C$13</c:f>
              <c:numCache>
                <c:formatCode>0.0%</c:formatCode>
                <c:ptCount val="6"/>
                <c:pt idx="0">
                  <c:v>0.45200000000000001</c:v>
                </c:pt>
                <c:pt idx="1">
                  <c:v>0.46899999999999997</c:v>
                </c:pt>
                <c:pt idx="2">
                  <c:v>0.46600000000000003</c:v>
                </c:pt>
                <c:pt idx="3">
                  <c:v>0.45800000000000002</c:v>
                </c:pt>
                <c:pt idx="4">
                  <c:v>0.438</c:v>
                </c:pt>
                <c:pt idx="5">
                  <c:v>0.432</c:v>
                </c:pt>
              </c:numCache>
            </c:numRef>
          </c:val>
          <c:smooth val="0"/>
        </c:ser>
        <c:dLbls>
          <c:showLegendKey val="0"/>
          <c:showVal val="0"/>
          <c:showCatName val="0"/>
          <c:showSerName val="0"/>
          <c:showPercent val="0"/>
          <c:showBubbleSize val="0"/>
        </c:dLbls>
        <c:marker val="1"/>
        <c:smooth val="0"/>
        <c:axId val="624486448"/>
        <c:axId val="624482920"/>
      </c:lineChart>
      <c:catAx>
        <c:axId val="6244864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482920"/>
        <c:crosses val="autoZero"/>
        <c:auto val="1"/>
        <c:lblAlgn val="ctr"/>
        <c:lblOffset val="100"/>
        <c:noMultiLvlLbl val="0"/>
      </c:catAx>
      <c:valAx>
        <c:axId val="62448292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486448"/>
        <c:crosses val="autoZero"/>
        <c:crossBetween val="between"/>
        <c:majorUnit val="0.2"/>
      </c:valAx>
      <c:spPr>
        <a:noFill/>
        <a:ln>
          <a:noFill/>
        </a:ln>
        <a:effectLst/>
      </c:spPr>
    </c:plotArea>
    <c:legend>
      <c:legendPos val="b"/>
      <c:layout>
        <c:manualLayout>
          <c:xMode val="edge"/>
          <c:yMode val="edge"/>
          <c:x val="0.27970703100314709"/>
          <c:y val="4.730590980913281E-2"/>
          <c:w val="0.41160585263920663"/>
          <c:h val="8.6077008006241032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0338977235688683E-2"/>
          <c:y val="0.15143320713899405"/>
          <c:w val="0.8961986463607583"/>
          <c:h val="0.70617443776802102"/>
        </c:manualLayout>
      </c:layout>
      <c:lineChart>
        <c:grouping val="standard"/>
        <c:varyColors val="0"/>
        <c:ser>
          <c:idx val="0"/>
          <c:order val="0"/>
          <c:tx>
            <c:strRef>
              <c:f>'PHE, Child Health Profiles'!$C$489</c:f>
              <c:strCache>
                <c:ptCount val="1"/>
                <c:pt idx="0">
                  <c:v>Croydon</c:v>
                </c:pt>
              </c:strCache>
            </c:strRef>
          </c:tx>
          <c:spPr>
            <a:ln w="28575" cap="rnd">
              <a:solidFill>
                <a:schemeClr val="accent1"/>
              </a:solidFill>
              <a:round/>
            </a:ln>
            <a:effectLst/>
          </c:spPr>
          <c:marker>
            <c:symbol val="none"/>
          </c:marker>
          <c:cat>
            <c:numRef>
              <c:f>'PHE, Child Health Profiles'!$B$490:$B$508</c:f>
              <c:numCache>
                <c:formatCode>General</c:formatCode>
                <c:ptCount val="19"/>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numCache>
            </c:numRef>
          </c:cat>
          <c:val>
            <c:numRef>
              <c:f>'PHE, Child Health Profiles'!$C$490:$C$508</c:f>
              <c:numCache>
                <c:formatCode>0.0</c:formatCode>
                <c:ptCount val="19"/>
                <c:pt idx="0">
                  <c:v>59.1</c:v>
                </c:pt>
                <c:pt idx="1">
                  <c:v>58.2</c:v>
                </c:pt>
                <c:pt idx="2">
                  <c:v>56.9</c:v>
                </c:pt>
                <c:pt idx="3">
                  <c:v>54.3</c:v>
                </c:pt>
                <c:pt idx="4">
                  <c:v>57.7</c:v>
                </c:pt>
                <c:pt idx="5">
                  <c:v>51.2</c:v>
                </c:pt>
                <c:pt idx="6">
                  <c:v>53.4</c:v>
                </c:pt>
                <c:pt idx="7">
                  <c:v>52.8</c:v>
                </c:pt>
                <c:pt idx="8">
                  <c:v>52.9</c:v>
                </c:pt>
                <c:pt idx="9">
                  <c:v>50.5</c:v>
                </c:pt>
                <c:pt idx="10">
                  <c:v>50.6</c:v>
                </c:pt>
                <c:pt idx="11">
                  <c:v>37.1</c:v>
                </c:pt>
                <c:pt idx="12">
                  <c:v>36.799999999999997</c:v>
                </c:pt>
                <c:pt idx="13">
                  <c:v>32.799999999999997</c:v>
                </c:pt>
                <c:pt idx="14">
                  <c:v>28.6</c:v>
                </c:pt>
                <c:pt idx="15">
                  <c:v>32.4</c:v>
                </c:pt>
                <c:pt idx="16">
                  <c:v>28.3</c:v>
                </c:pt>
                <c:pt idx="17">
                  <c:v>24</c:v>
                </c:pt>
                <c:pt idx="18">
                  <c:v>25</c:v>
                </c:pt>
              </c:numCache>
            </c:numRef>
          </c:val>
          <c:smooth val="0"/>
        </c:ser>
        <c:ser>
          <c:idx val="1"/>
          <c:order val="1"/>
          <c:tx>
            <c:strRef>
              <c:f>'PHE, Child Health Profiles'!$D$489</c:f>
              <c:strCache>
                <c:ptCount val="1"/>
                <c:pt idx="0">
                  <c:v>London</c:v>
                </c:pt>
              </c:strCache>
            </c:strRef>
          </c:tx>
          <c:spPr>
            <a:ln w="28575" cap="rnd">
              <a:solidFill>
                <a:schemeClr val="accent2"/>
              </a:solidFill>
              <a:round/>
            </a:ln>
            <a:effectLst/>
          </c:spPr>
          <c:marker>
            <c:symbol val="none"/>
          </c:marker>
          <c:cat>
            <c:numRef>
              <c:f>'PHE, Child Health Profiles'!$B$490:$B$508</c:f>
              <c:numCache>
                <c:formatCode>General</c:formatCode>
                <c:ptCount val="19"/>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numCache>
            </c:numRef>
          </c:cat>
          <c:val>
            <c:numRef>
              <c:f>'PHE, Child Health Profiles'!$D$490:$D$508</c:f>
              <c:numCache>
                <c:formatCode>General</c:formatCode>
                <c:ptCount val="19"/>
                <c:pt idx="0">
                  <c:v>51.1</c:v>
                </c:pt>
                <c:pt idx="1">
                  <c:v>50.5</c:v>
                </c:pt>
                <c:pt idx="2">
                  <c:v>50.4</c:v>
                </c:pt>
                <c:pt idx="3">
                  <c:v>50.3</c:v>
                </c:pt>
                <c:pt idx="4">
                  <c:v>52.1</c:v>
                </c:pt>
                <c:pt idx="5">
                  <c:v>50.3</c:v>
                </c:pt>
                <c:pt idx="6">
                  <c:v>47.5</c:v>
                </c:pt>
                <c:pt idx="7">
                  <c:v>44.2</c:v>
                </c:pt>
                <c:pt idx="8">
                  <c:v>43.3</c:v>
                </c:pt>
                <c:pt idx="9">
                  <c:v>42.6</c:v>
                </c:pt>
                <c:pt idx="10">
                  <c:v>40.799999999999997</c:v>
                </c:pt>
                <c:pt idx="11">
                  <c:v>36.700000000000003</c:v>
                </c:pt>
                <c:pt idx="12">
                  <c:v>32.799999999999997</c:v>
                </c:pt>
                <c:pt idx="13">
                  <c:v>28.7</c:v>
                </c:pt>
                <c:pt idx="14">
                  <c:v>25.9</c:v>
                </c:pt>
                <c:pt idx="15">
                  <c:v>21.8</c:v>
                </c:pt>
                <c:pt idx="16">
                  <c:v>21.5</c:v>
                </c:pt>
                <c:pt idx="17">
                  <c:v>19.2</c:v>
                </c:pt>
                <c:pt idx="18">
                  <c:v>17.100000000000001</c:v>
                </c:pt>
              </c:numCache>
            </c:numRef>
          </c:val>
          <c:smooth val="0"/>
        </c:ser>
        <c:ser>
          <c:idx val="2"/>
          <c:order val="2"/>
          <c:tx>
            <c:strRef>
              <c:f>'PHE, Child Health Profiles'!$E$489</c:f>
              <c:strCache>
                <c:ptCount val="1"/>
                <c:pt idx="0">
                  <c:v>England</c:v>
                </c:pt>
              </c:strCache>
            </c:strRef>
          </c:tx>
          <c:spPr>
            <a:ln w="28575" cap="rnd">
              <a:solidFill>
                <a:schemeClr val="accent3"/>
              </a:solidFill>
              <a:round/>
            </a:ln>
            <a:effectLst/>
          </c:spPr>
          <c:marker>
            <c:symbol val="none"/>
          </c:marker>
          <c:cat>
            <c:numRef>
              <c:f>'PHE, Child Health Profiles'!$B$490:$B$508</c:f>
              <c:numCache>
                <c:formatCode>General</c:formatCode>
                <c:ptCount val="19"/>
                <c:pt idx="0">
                  <c:v>1998</c:v>
                </c:pt>
                <c:pt idx="1">
                  <c:v>1999</c:v>
                </c:pt>
                <c:pt idx="2">
                  <c:v>2000</c:v>
                </c:pt>
                <c:pt idx="3">
                  <c:v>2001</c:v>
                </c:pt>
                <c:pt idx="4">
                  <c:v>2002</c:v>
                </c:pt>
                <c:pt idx="5">
                  <c:v>2003</c:v>
                </c:pt>
                <c:pt idx="6">
                  <c:v>2004</c:v>
                </c:pt>
                <c:pt idx="7">
                  <c:v>2005</c:v>
                </c:pt>
                <c:pt idx="8">
                  <c:v>2006</c:v>
                </c:pt>
                <c:pt idx="9">
                  <c:v>2007</c:v>
                </c:pt>
                <c:pt idx="10">
                  <c:v>2008</c:v>
                </c:pt>
                <c:pt idx="11">
                  <c:v>2009</c:v>
                </c:pt>
                <c:pt idx="12">
                  <c:v>2010</c:v>
                </c:pt>
                <c:pt idx="13">
                  <c:v>2011</c:v>
                </c:pt>
                <c:pt idx="14">
                  <c:v>2012</c:v>
                </c:pt>
                <c:pt idx="15">
                  <c:v>2013</c:v>
                </c:pt>
                <c:pt idx="16">
                  <c:v>2014</c:v>
                </c:pt>
                <c:pt idx="17">
                  <c:v>2015</c:v>
                </c:pt>
                <c:pt idx="18">
                  <c:v>2016</c:v>
                </c:pt>
              </c:numCache>
            </c:numRef>
          </c:cat>
          <c:val>
            <c:numRef>
              <c:f>'PHE, Child Health Profiles'!$E$490:$E$508</c:f>
              <c:numCache>
                <c:formatCode>General</c:formatCode>
                <c:ptCount val="19"/>
                <c:pt idx="0">
                  <c:v>46.6</c:v>
                </c:pt>
                <c:pt idx="1">
                  <c:v>44.8</c:v>
                </c:pt>
                <c:pt idx="2">
                  <c:v>43.6</c:v>
                </c:pt>
                <c:pt idx="3">
                  <c:v>42.5</c:v>
                </c:pt>
                <c:pt idx="4">
                  <c:v>42.8</c:v>
                </c:pt>
                <c:pt idx="5">
                  <c:v>42.1</c:v>
                </c:pt>
                <c:pt idx="6">
                  <c:v>41.6</c:v>
                </c:pt>
                <c:pt idx="7">
                  <c:v>41.4</c:v>
                </c:pt>
                <c:pt idx="8">
                  <c:v>40.6</c:v>
                </c:pt>
                <c:pt idx="9">
                  <c:v>41.4</c:v>
                </c:pt>
                <c:pt idx="10">
                  <c:v>39.700000000000003</c:v>
                </c:pt>
                <c:pt idx="11">
                  <c:v>37.1</c:v>
                </c:pt>
                <c:pt idx="12">
                  <c:v>34.200000000000003</c:v>
                </c:pt>
                <c:pt idx="13">
                  <c:v>30.7</c:v>
                </c:pt>
                <c:pt idx="14">
                  <c:v>27.7</c:v>
                </c:pt>
                <c:pt idx="15">
                  <c:v>24.3</c:v>
                </c:pt>
                <c:pt idx="16">
                  <c:v>22.8</c:v>
                </c:pt>
                <c:pt idx="17">
                  <c:v>20.8</c:v>
                </c:pt>
                <c:pt idx="18">
                  <c:v>18.8</c:v>
                </c:pt>
              </c:numCache>
            </c:numRef>
          </c:val>
          <c:smooth val="0"/>
        </c:ser>
        <c:dLbls>
          <c:showLegendKey val="0"/>
          <c:showVal val="0"/>
          <c:showCatName val="0"/>
          <c:showSerName val="0"/>
          <c:showPercent val="0"/>
          <c:showBubbleSize val="0"/>
        </c:dLbls>
        <c:smooth val="0"/>
        <c:axId val="624486056"/>
        <c:axId val="624484096"/>
      </c:lineChart>
      <c:catAx>
        <c:axId val="624486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624484096"/>
        <c:crosses val="autoZero"/>
        <c:auto val="1"/>
        <c:lblAlgn val="ctr"/>
        <c:lblOffset val="100"/>
        <c:noMultiLvlLbl val="0"/>
      </c:catAx>
      <c:valAx>
        <c:axId val="6244840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486056"/>
        <c:crosses val="autoZero"/>
        <c:crossBetween val="between"/>
      </c:valAx>
      <c:spPr>
        <a:noFill/>
        <a:ln>
          <a:noFill/>
        </a:ln>
        <a:effectLst/>
      </c:spPr>
    </c:plotArea>
    <c:legend>
      <c:legendPos val="b"/>
      <c:layout>
        <c:manualLayout>
          <c:xMode val="edge"/>
          <c:yMode val="edge"/>
          <c:x val="0.19239069475289947"/>
          <c:y val="2.7176213573627796E-2"/>
          <c:w val="0.6420324910366596"/>
          <c:h val="9.126618772437111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908150904213895"/>
          <c:y val="4.0934551548403392E-2"/>
          <c:w val="0.84017132473825384"/>
          <c:h val="0.61204173457909594"/>
        </c:manualLayout>
      </c:layout>
      <c:barChart>
        <c:barDir val="col"/>
        <c:grouping val="clustered"/>
        <c:varyColors val="0"/>
        <c:ser>
          <c:idx val="0"/>
          <c:order val="0"/>
          <c:tx>
            <c:strRef>
              <c:f>'Excess Weight'!$B$39</c:f>
              <c:strCache>
                <c:ptCount val="1"/>
                <c:pt idx="0">
                  <c:v>Excess Weight %</c:v>
                </c:pt>
              </c:strCache>
            </c:strRef>
          </c:tx>
          <c:spPr>
            <a:solidFill>
              <a:schemeClr val="accent3">
                <a:lumMod val="40000"/>
                <a:lumOff val="60000"/>
              </a:schemeClr>
            </a:solidFill>
            <a:ln>
              <a:noFill/>
            </a:ln>
            <a:effectLst/>
          </c:spPr>
          <c:invertIfNegative val="0"/>
          <c:dPt>
            <c:idx val="12"/>
            <c:invertIfNegative val="0"/>
            <c:bubble3D val="0"/>
            <c:spPr>
              <a:solidFill>
                <a:srgbClr val="FF0000"/>
              </a:solidFill>
              <a:ln>
                <a:solidFill>
                  <a:srgbClr val="FF0000"/>
                </a:solidFill>
              </a:ln>
              <a:effectLst/>
            </c:spPr>
          </c:dPt>
          <c:dPt>
            <c:idx val="27"/>
            <c:invertIfNegative val="0"/>
            <c:bubble3D val="0"/>
            <c:spPr>
              <a:solidFill>
                <a:srgbClr val="7030A0"/>
              </a:solidFill>
              <a:ln>
                <a:solidFill>
                  <a:srgbClr val="7030A0"/>
                </a:solidFill>
              </a:ln>
              <a:effectLst/>
            </c:spPr>
          </c:dPt>
          <c:dPt>
            <c:idx val="29"/>
            <c:invertIfNegative val="0"/>
            <c:bubble3D val="0"/>
            <c:spPr>
              <a:solidFill>
                <a:schemeClr val="tx2">
                  <a:lumMod val="60000"/>
                  <a:lumOff val="40000"/>
                </a:schemeClr>
              </a:solidFill>
              <a:ln>
                <a:solidFill>
                  <a:schemeClr val="tx2">
                    <a:lumMod val="60000"/>
                    <a:lumOff val="40000"/>
                  </a:schemeClr>
                </a:solidFill>
              </a:ln>
              <a:effectLst/>
            </c:spPr>
          </c:dPt>
          <c:dLbls>
            <c:spPr>
              <a:noFill/>
              <a:ln>
                <a:noFill/>
              </a:ln>
              <a:effectLst/>
            </c:spPr>
            <c:txPr>
              <a:bodyPr rot="-5400000" spcFirstLastPara="1" vertOverflow="ellipsis" wrap="square" anchor="ctr" anchorCtr="1"/>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'Excess Weight'!$A$40:$A$73</c:f>
              <c:strCache>
                <c:ptCount val="34"/>
                <c:pt idx="0">
                  <c:v>Kensington &amp; Chelsea</c:v>
                </c:pt>
                <c:pt idx="1">
                  <c:v>Tower Hamlets</c:v>
                </c:pt>
                <c:pt idx="2">
                  <c:v>Camden</c:v>
                </c:pt>
                <c:pt idx="3">
                  <c:v>Westminster</c:v>
                </c:pt>
                <c:pt idx="4">
                  <c:v>Wandsworth</c:v>
                </c:pt>
                <c:pt idx="5">
                  <c:v>Haringey</c:v>
                </c:pt>
                <c:pt idx="6">
                  <c:v>Lambeth</c:v>
                </c:pt>
                <c:pt idx="7">
                  <c:v>Richmond upon Thames</c:v>
                </c:pt>
                <c:pt idx="8">
                  <c:v>Hammersmith &amp; Fulham</c:v>
                </c:pt>
                <c:pt idx="9">
                  <c:v>Barnet</c:v>
                </c:pt>
                <c:pt idx="10">
                  <c:v>Islington</c:v>
                </c:pt>
                <c:pt idx="11">
                  <c:v>Kingston upon Thames</c:v>
                </c:pt>
                <c:pt idx="12">
                  <c:v>London Region</c:v>
                </c:pt>
                <c:pt idx="13">
                  <c:v>Hillingdon</c:v>
                </c:pt>
                <c:pt idx="14">
                  <c:v>Waltham Forest</c:v>
                </c:pt>
                <c:pt idx="15">
                  <c:v>Hounslow</c:v>
                </c:pt>
                <c:pt idx="16">
                  <c:v>Merton</c:v>
                </c:pt>
                <c:pt idx="17">
                  <c:v>Ealing</c:v>
                </c:pt>
                <c:pt idx="18">
                  <c:v>Bromley</c:v>
                </c:pt>
                <c:pt idx="19">
                  <c:v>Sutton</c:v>
                </c:pt>
                <c:pt idx="20">
                  <c:v>Harrow</c:v>
                </c:pt>
                <c:pt idx="21">
                  <c:v>Havering</c:v>
                </c:pt>
                <c:pt idx="22">
                  <c:v>Lewisham</c:v>
                </c:pt>
                <c:pt idx="23">
                  <c:v>Brent</c:v>
                </c:pt>
                <c:pt idx="24">
                  <c:v>Hackney</c:v>
                </c:pt>
                <c:pt idx="25">
                  <c:v>Southwark</c:v>
                </c:pt>
                <c:pt idx="26">
                  <c:v>Greenwich</c:v>
                </c:pt>
                <c:pt idx="27">
                  <c:v>Croydon</c:v>
                </c:pt>
                <c:pt idx="28">
                  <c:v>Redbridge</c:v>
                </c:pt>
                <c:pt idx="29">
                  <c:v>England</c:v>
                </c:pt>
                <c:pt idx="30">
                  <c:v>Enfield</c:v>
                </c:pt>
                <c:pt idx="31">
                  <c:v>Newham</c:v>
                </c:pt>
                <c:pt idx="32">
                  <c:v>Barking &amp; Dagenham</c:v>
                </c:pt>
                <c:pt idx="33">
                  <c:v>Bexley</c:v>
                </c:pt>
              </c:strCache>
            </c:strRef>
          </c:cat>
          <c:val>
            <c:numRef>
              <c:f>'Excess Weight'!$B$40:$B$73</c:f>
              <c:numCache>
                <c:formatCode>0.0%</c:formatCode>
                <c:ptCount val="34"/>
                <c:pt idx="0">
                  <c:v>0.40500000000000003</c:v>
                </c:pt>
                <c:pt idx="1">
                  <c:v>0.44</c:v>
                </c:pt>
                <c:pt idx="2">
                  <c:v>0.45300000000000001</c:v>
                </c:pt>
                <c:pt idx="3">
                  <c:v>0.48</c:v>
                </c:pt>
                <c:pt idx="4">
                  <c:v>0.48199999999999998</c:v>
                </c:pt>
                <c:pt idx="5">
                  <c:v>0.499</c:v>
                </c:pt>
                <c:pt idx="6">
                  <c:v>0.5</c:v>
                </c:pt>
                <c:pt idx="7">
                  <c:v>0.51</c:v>
                </c:pt>
                <c:pt idx="8">
                  <c:v>0.52500000000000002</c:v>
                </c:pt>
                <c:pt idx="9">
                  <c:v>0.53</c:v>
                </c:pt>
                <c:pt idx="10">
                  <c:v>0.53200000000000003</c:v>
                </c:pt>
                <c:pt idx="11">
                  <c:v>0.53400000000000003</c:v>
                </c:pt>
                <c:pt idx="12">
                  <c:v>0.55200000000000005</c:v>
                </c:pt>
                <c:pt idx="13">
                  <c:v>0.55200000000000005</c:v>
                </c:pt>
                <c:pt idx="14">
                  <c:v>0.55600000000000005</c:v>
                </c:pt>
                <c:pt idx="15">
                  <c:v>0.56499999999999995</c:v>
                </c:pt>
                <c:pt idx="16">
                  <c:v>0.56699999999999995</c:v>
                </c:pt>
                <c:pt idx="17">
                  <c:v>0.56899999999999995</c:v>
                </c:pt>
                <c:pt idx="18">
                  <c:v>0.57199999999999995</c:v>
                </c:pt>
                <c:pt idx="19">
                  <c:v>0.57299999999999995</c:v>
                </c:pt>
                <c:pt idx="20">
                  <c:v>0.57499999999999996</c:v>
                </c:pt>
                <c:pt idx="21">
                  <c:v>0.57599999999999996</c:v>
                </c:pt>
                <c:pt idx="22">
                  <c:v>0.57799999999999996</c:v>
                </c:pt>
                <c:pt idx="23">
                  <c:v>0.58099999999999996</c:v>
                </c:pt>
                <c:pt idx="24">
                  <c:v>0.58699999999999997</c:v>
                </c:pt>
                <c:pt idx="25">
                  <c:v>0.58799999999999997</c:v>
                </c:pt>
                <c:pt idx="26">
                  <c:v>0.58899999999999997</c:v>
                </c:pt>
                <c:pt idx="27">
                  <c:v>0.59</c:v>
                </c:pt>
                <c:pt idx="28">
                  <c:v>0.59799999999999998</c:v>
                </c:pt>
                <c:pt idx="29">
                  <c:v>0.61299999999999999</c:v>
                </c:pt>
                <c:pt idx="30">
                  <c:v>0.61399999999999999</c:v>
                </c:pt>
                <c:pt idx="31">
                  <c:v>0.624</c:v>
                </c:pt>
                <c:pt idx="32">
                  <c:v>0.628</c:v>
                </c:pt>
                <c:pt idx="33">
                  <c:v>0.64600000000000002</c:v>
                </c:pt>
              </c:numCache>
            </c:numRef>
          </c:val>
        </c:ser>
        <c:dLbls>
          <c:showLegendKey val="0"/>
          <c:showVal val="0"/>
          <c:showCatName val="0"/>
          <c:showSerName val="0"/>
          <c:showPercent val="0"/>
          <c:showBubbleSize val="0"/>
        </c:dLbls>
        <c:gapWidth val="67"/>
        <c:axId val="624456392"/>
        <c:axId val="624458352"/>
      </c:barChart>
      <c:catAx>
        <c:axId val="6244563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624458352"/>
        <c:crosses val="autoZero"/>
        <c:auto val="1"/>
        <c:lblAlgn val="ctr"/>
        <c:lblOffset val="100"/>
        <c:noMultiLvlLbl val="0"/>
      </c:catAx>
      <c:valAx>
        <c:axId val="624458352"/>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24456392"/>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sz="800"/>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302773199861645E-2"/>
          <c:y val="0.16894977168949771"/>
          <c:w val="0.85701764023683091"/>
          <c:h val="0.68916262179556331"/>
        </c:manualLayout>
      </c:layout>
      <c:barChart>
        <c:barDir val="col"/>
        <c:grouping val="clustered"/>
        <c:varyColors val="0"/>
        <c:ser>
          <c:idx val="1"/>
          <c:order val="1"/>
          <c:tx>
            <c:strRef>
              <c:f>'Immun +'!$H$36</c:f>
              <c:strCache>
                <c:ptCount val="1"/>
                <c:pt idx="0">
                  <c:v>Croydon</c:v>
                </c:pt>
              </c:strCache>
            </c:strRef>
          </c:tx>
          <c:spPr>
            <a:solidFill>
              <a:srgbClr val="0070C0"/>
            </a:solidFill>
            <a:ln>
              <a:solidFill>
                <a:srgbClr val="0070C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'Immun +'!$E$37:$E$38</c:f>
              <c:numCache>
                <c:formatCode>General</c:formatCode>
                <c:ptCount val="2"/>
                <c:pt idx="0">
                  <c:v>2017</c:v>
                </c:pt>
                <c:pt idx="1">
                  <c:v>2018</c:v>
                </c:pt>
              </c:numCache>
            </c:numRef>
          </c:cat>
          <c:val>
            <c:numRef>
              <c:f>'Immun +'!$H$37:$H$38</c:f>
              <c:numCache>
                <c:formatCode>0.0</c:formatCode>
                <c:ptCount val="2"/>
                <c:pt idx="0">
                  <c:v>66.8</c:v>
                </c:pt>
                <c:pt idx="1">
                  <c:v>66.7</c:v>
                </c:pt>
              </c:numCache>
            </c:numRef>
          </c:val>
        </c:ser>
        <c:ser>
          <c:idx val="2"/>
          <c:order val="2"/>
          <c:tx>
            <c:strRef>
              <c:f>'Immun +'!$I$36</c:f>
              <c:strCache>
                <c:ptCount val="1"/>
                <c:pt idx="0">
                  <c:v>London</c:v>
                </c:pt>
              </c:strCache>
            </c:strRef>
          </c:tx>
          <c:spPr>
            <a:solidFill>
              <a:srgbClr val="C00000"/>
            </a:solidFill>
            <a:ln>
              <a:solidFill>
                <a:srgbClr val="C0000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'Immun +'!$E$37:$E$38</c:f>
              <c:numCache>
                <c:formatCode>General</c:formatCode>
                <c:ptCount val="2"/>
                <c:pt idx="0">
                  <c:v>2017</c:v>
                </c:pt>
                <c:pt idx="1">
                  <c:v>2018</c:v>
                </c:pt>
              </c:numCache>
            </c:numRef>
          </c:cat>
          <c:val>
            <c:numRef>
              <c:f>'Immun +'!$I$37:$I$38</c:f>
              <c:numCache>
                <c:formatCode>0.0</c:formatCode>
                <c:ptCount val="2"/>
                <c:pt idx="0">
                  <c:v>71.099999999999994</c:v>
                </c:pt>
                <c:pt idx="1">
                  <c:v>70.5</c:v>
                </c:pt>
              </c:numCache>
            </c:numRef>
          </c:val>
        </c:ser>
        <c:ser>
          <c:idx val="3"/>
          <c:order val="3"/>
          <c:tx>
            <c:strRef>
              <c:f>'Immun +'!$J$36</c:f>
              <c:strCache>
                <c:ptCount val="1"/>
                <c:pt idx="0">
                  <c:v>England</c:v>
                </c:pt>
              </c:strCache>
            </c:strRef>
          </c:tx>
          <c:spPr>
            <a:solidFill>
              <a:srgbClr val="92D050"/>
            </a:solidFill>
            <a:ln>
              <a:solidFill>
                <a:srgbClr val="92D050"/>
              </a:solidFill>
            </a:ln>
            <a:effectLst/>
          </c:spPr>
          <c:invertIfNegative val="0"/>
          <c:dPt>
            <c:idx val="1"/>
            <c:invertIfNegative val="0"/>
            <c:bubble3D val="0"/>
            <c:spPr>
              <a:solidFill>
                <a:srgbClr val="92D050"/>
              </a:solidFill>
              <a:ln>
                <a:solidFill>
                  <a:srgbClr val="92D050"/>
                </a:solidFill>
              </a:ln>
              <a:effectLst/>
            </c:spPr>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'Immun +'!$E$37:$E$38</c:f>
              <c:numCache>
                <c:formatCode>General</c:formatCode>
                <c:ptCount val="2"/>
                <c:pt idx="0">
                  <c:v>2017</c:v>
                </c:pt>
                <c:pt idx="1">
                  <c:v>2018</c:v>
                </c:pt>
              </c:numCache>
            </c:numRef>
          </c:cat>
          <c:val>
            <c:numRef>
              <c:f>'Immun +'!$J$37:$J$38</c:f>
              <c:numCache>
                <c:formatCode>0.0</c:formatCode>
                <c:ptCount val="2"/>
                <c:pt idx="0">
                  <c:v>67.900000000000006</c:v>
                </c:pt>
                <c:pt idx="1">
                  <c:v>67.5</c:v>
                </c:pt>
              </c:numCache>
            </c:numRef>
          </c:val>
        </c:ser>
        <c:dLbls>
          <c:showLegendKey val="0"/>
          <c:showVal val="0"/>
          <c:showCatName val="0"/>
          <c:showSerName val="0"/>
          <c:showPercent val="0"/>
          <c:showBubbleSize val="0"/>
        </c:dLbls>
        <c:gapWidth val="150"/>
        <c:axId val="624455608"/>
        <c:axId val="624456000"/>
      </c:barChart>
      <c:lineChart>
        <c:grouping val="stacked"/>
        <c:varyColors val="0"/>
        <c:ser>
          <c:idx val="0"/>
          <c:order val="0"/>
          <c:tx>
            <c:strRef>
              <c:f>'Immun +'!$G$36</c:f>
              <c:strCache>
                <c:ptCount val="1"/>
                <c:pt idx="0">
                  <c:v>Target</c:v>
                </c:pt>
              </c:strCache>
            </c:strRef>
          </c:tx>
          <c:spPr>
            <a:ln w="28575" cap="rnd">
              <a:solidFill>
                <a:srgbClr val="7030A0"/>
              </a:solidFill>
              <a:round/>
            </a:ln>
            <a:effectLst/>
          </c:spPr>
          <c:marker>
            <c:symbol val="circle"/>
            <c:size val="5"/>
            <c:spPr>
              <a:solidFill>
                <a:schemeClr val="accent1"/>
              </a:solidFill>
              <a:ln w="9525">
                <a:solidFill>
                  <a:schemeClr val="accent1"/>
                </a:solidFill>
              </a:ln>
              <a:effectLst/>
            </c:spPr>
          </c:marker>
          <c:dPt>
            <c:idx val="1"/>
            <c:marker>
              <c:symbol val="circle"/>
              <c:size val="5"/>
              <c:spPr>
                <a:solidFill>
                  <a:srgbClr val="FF0000"/>
                </a:solidFill>
                <a:ln w="9525">
                  <a:solidFill>
                    <a:srgbClr val="FF0000"/>
                  </a:solidFill>
                </a:ln>
                <a:effectLst/>
              </c:spPr>
            </c:marker>
            <c:bubble3D val="0"/>
            <c:spPr>
              <a:ln w="28575" cap="rnd">
                <a:solidFill>
                  <a:srgbClr val="FF0000"/>
                </a:solidFill>
                <a:round/>
              </a:ln>
              <a:effectLst/>
            </c:spPr>
          </c:dPt>
          <c:cat>
            <c:numRef>
              <c:f>'Immun +'!$E$37:$E$38</c:f>
              <c:numCache>
                <c:formatCode>General</c:formatCode>
                <c:ptCount val="2"/>
                <c:pt idx="0">
                  <c:v>2017</c:v>
                </c:pt>
                <c:pt idx="1">
                  <c:v>2018</c:v>
                </c:pt>
              </c:numCache>
            </c:numRef>
          </c:cat>
          <c:val>
            <c:numRef>
              <c:f>'Immun +'!$G$37:$G$38</c:f>
              <c:numCache>
                <c:formatCode>General</c:formatCode>
                <c:ptCount val="2"/>
                <c:pt idx="0">
                  <c:v>66.7</c:v>
                </c:pt>
                <c:pt idx="1">
                  <c:v>66.7</c:v>
                </c:pt>
              </c:numCache>
            </c:numRef>
          </c:val>
          <c:smooth val="0"/>
        </c:ser>
        <c:dLbls>
          <c:showLegendKey val="0"/>
          <c:showVal val="0"/>
          <c:showCatName val="0"/>
          <c:showSerName val="0"/>
          <c:showPercent val="0"/>
          <c:showBubbleSize val="0"/>
        </c:dLbls>
        <c:marker val="1"/>
        <c:smooth val="0"/>
        <c:axId val="624455608"/>
        <c:axId val="624456000"/>
      </c:lineChart>
      <c:catAx>
        <c:axId val="624455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24456000"/>
        <c:crosses val="autoZero"/>
        <c:auto val="1"/>
        <c:lblAlgn val="ctr"/>
        <c:lblOffset val="100"/>
        <c:noMultiLvlLbl val="0"/>
      </c:catAx>
      <c:valAx>
        <c:axId val="624456000"/>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455608"/>
        <c:crosses val="autoZero"/>
        <c:crossBetween val="between"/>
        <c:majorUnit val="10"/>
      </c:valAx>
      <c:spPr>
        <a:noFill/>
        <a:ln>
          <a:noFill/>
        </a:ln>
        <a:effectLst/>
      </c:spPr>
    </c:plotArea>
    <c:legend>
      <c:legendPos val="b"/>
      <c:layout>
        <c:manualLayout>
          <c:xMode val="edge"/>
          <c:yMode val="edge"/>
          <c:x val="0.21892713992146334"/>
          <c:y val="5.53647574875058E-2"/>
          <c:w val="0.71905511811023626"/>
          <c:h val="8.8108078955883934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302773199861645E-2"/>
          <c:y val="0.16894977168949771"/>
          <c:w val="0.85701764023683091"/>
          <c:h val="0.68916262179556331"/>
        </c:manualLayout>
      </c:layout>
      <c:lineChart>
        <c:grouping val="standard"/>
        <c:varyColors val="0"/>
        <c:ser>
          <c:idx val="0"/>
          <c:order val="0"/>
          <c:tx>
            <c:strRef>
              <c:f>'Immun +'!$F$39</c:f>
              <c:strCache>
                <c:ptCount val="1"/>
                <c:pt idx="0">
                  <c:v>Croydon</c:v>
                </c:pt>
              </c:strCache>
            </c:strRef>
          </c:tx>
          <c:spPr>
            <a:ln w="28575" cap="rnd">
              <a:solidFill>
                <a:srgbClr val="0070C0"/>
              </a:solidFill>
              <a:round/>
            </a:ln>
            <a:effectLst/>
          </c:spPr>
          <c:marker>
            <c:symbol val="none"/>
          </c:marker>
          <c:cat>
            <c:numRef>
              <c:f>'Immun +'!$E$40:$E$42</c:f>
              <c:numCache>
                <c:formatCode>General</c:formatCode>
                <c:ptCount val="3"/>
                <c:pt idx="0">
                  <c:v>2015</c:v>
                </c:pt>
                <c:pt idx="1">
                  <c:v>2016</c:v>
                </c:pt>
                <c:pt idx="2">
                  <c:v>2017</c:v>
                </c:pt>
              </c:numCache>
            </c:numRef>
          </c:cat>
          <c:val>
            <c:numRef>
              <c:f>'Immun +'!$F$40:$F$42</c:f>
              <c:numCache>
                <c:formatCode>0.0</c:formatCode>
                <c:ptCount val="3"/>
                <c:pt idx="0">
                  <c:v>63.7</c:v>
                </c:pt>
                <c:pt idx="1">
                  <c:v>64.400000000000006</c:v>
                </c:pt>
                <c:pt idx="2">
                  <c:v>65.8</c:v>
                </c:pt>
              </c:numCache>
            </c:numRef>
          </c:val>
          <c:smooth val="0"/>
        </c:ser>
        <c:ser>
          <c:idx val="1"/>
          <c:order val="1"/>
          <c:tx>
            <c:strRef>
              <c:f>'Immun +'!$G$39</c:f>
              <c:strCache>
                <c:ptCount val="1"/>
                <c:pt idx="0">
                  <c:v>London</c:v>
                </c:pt>
              </c:strCache>
            </c:strRef>
          </c:tx>
          <c:spPr>
            <a:ln w="28575" cap="rnd">
              <a:solidFill>
                <a:schemeClr val="accent2"/>
              </a:solidFill>
              <a:round/>
            </a:ln>
            <a:effectLst/>
          </c:spPr>
          <c:marker>
            <c:symbol val="none"/>
          </c:marker>
          <c:cat>
            <c:numRef>
              <c:f>'Immun +'!$E$40:$E$42</c:f>
              <c:numCache>
                <c:formatCode>General</c:formatCode>
                <c:ptCount val="3"/>
                <c:pt idx="0">
                  <c:v>2015</c:v>
                </c:pt>
                <c:pt idx="1">
                  <c:v>2016</c:v>
                </c:pt>
                <c:pt idx="2">
                  <c:v>2017</c:v>
                </c:pt>
              </c:numCache>
            </c:numRef>
          </c:cat>
          <c:val>
            <c:numRef>
              <c:f>'Immun +'!$G$40:$G$42</c:f>
              <c:numCache>
                <c:formatCode>0.0</c:formatCode>
                <c:ptCount val="3"/>
                <c:pt idx="0">
                  <c:v>68.5</c:v>
                </c:pt>
                <c:pt idx="1">
                  <c:v>70.099999999999994</c:v>
                </c:pt>
                <c:pt idx="2">
                  <c:v>71.2</c:v>
                </c:pt>
              </c:numCache>
            </c:numRef>
          </c:val>
          <c:smooth val="0"/>
        </c:ser>
        <c:ser>
          <c:idx val="2"/>
          <c:order val="2"/>
          <c:tx>
            <c:strRef>
              <c:f>'Immun +'!$H$39</c:f>
              <c:strCache>
                <c:ptCount val="1"/>
                <c:pt idx="0">
                  <c:v>England</c:v>
                </c:pt>
              </c:strCache>
            </c:strRef>
          </c:tx>
          <c:spPr>
            <a:ln w="28575" cap="rnd">
              <a:solidFill>
                <a:srgbClr val="92D050"/>
              </a:solidFill>
              <a:round/>
            </a:ln>
            <a:effectLst/>
          </c:spPr>
          <c:marker>
            <c:symbol val="none"/>
          </c:marker>
          <c:cat>
            <c:numRef>
              <c:f>'Immun +'!$E$40:$E$42</c:f>
              <c:numCache>
                <c:formatCode>General</c:formatCode>
                <c:ptCount val="3"/>
                <c:pt idx="0">
                  <c:v>2015</c:v>
                </c:pt>
                <c:pt idx="1">
                  <c:v>2016</c:v>
                </c:pt>
                <c:pt idx="2">
                  <c:v>2017</c:v>
                </c:pt>
              </c:numCache>
            </c:numRef>
          </c:cat>
          <c:val>
            <c:numRef>
              <c:f>'Immun +'!$H$40:$H$42</c:f>
              <c:numCache>
                <c:formatCode>0.0</c:formatCode>
                <c:ptCount val="3"/>
                <c:pt idx="0">
                  <c:v>74.599999999999994</c:v>
                </c:pt>
                <c:pt idx="1">
                  <c:v>76.2</c:v>
                </c:pt>
                <c:pt idx="2">
                  <c:v>77.099999999999994</c:v>
                </c:pt>
              </c:numCache>
            </c:numRef>
          </c:val>
          <c:smooth val="0"/>
        </c:ser>
        <c:dLbls>
          <c:showLegendKey val="0"/>
          <c:showVal val="0"/>
          <c:showCatName val="0"/>
          <c:showSerName val="0"/>
          <c:showPercent val="0"/>
          <c:showBubbleSize val="0"/>
        </c:dLbls>
        <c:smooth val="0"/>
        <c:axId val="624459136"/>
        <c:axId val="624459528"/>
      </c:lineChart>
      <c:catAx>
        <c:axId val="624459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24459528"/>
        <c:crosses val="autoZero"/>
        <c:auto val="1"/>
        <c:lblAlgn val="ctr"/>
        <c:lblOffset val="100"/>
        <c:noMultiLvlLbl val="0"/>
      </c:catAx>
      <c:valAx>
        <c:axId val="62445952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459136"/>
        <c:crosses val="autoZero"/>
        <c:crossBetween val="between"/>
        <c:majorUnit val="20"/>
      </c:valAx>
      <c:spPr>
        <a:noFill/>
        <a:ln>
          <a:noFill/>
        </a:ln>
        <a:effectLst/>
      </c:spPr>
    </c:plotArea>
    <c:legend>
      <c:legendPos val="b"/>
      <c:layout>
        <c:manualLayout>
          <c:xMode val="edge"/>
          <c:yMode val="edge"/>
          <c:x val="0.21892713992146334"/>
          <c:y val="5.53647574875058E-2"/>
          <c:w val="0.55531831776841845"/>
          <c:h val="8.8108078955883934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1"/>
          <c:order val="1"/>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'Religion analysis'!$O$27:$W$27</c:f>
              <c:strCache>
                <c:ptCount val="9"/>
                <c:pt idx="0">
                  <c:v>Christian</c:v>
                </c:pt>
                <c:pt idx="1">
                  <c:v>Buddhist</c:v>
                </c:pt>
                <c:pt idx="2">
                  <c:v>Hindu</c:v>
                </c:pt>
                <c:pt idx="3">
                  <c:v>Jewish</c:v>
                </c:pt>
                <c:pt idx="4">
                  <c:v>Moslem</c:v>
                </c:pt>
                <c:pt idx="5">
                  <c:v>Sikh</c:v>
                </c:pt>
                <c:pt idx="6">
                  <c:v>Other religion</c:v>
                </c:pt>
                <c:pt idx="7">
                  <c:v>No religion</c:v>
                </c:pt>
                <c:pt idx="8">
                  <c:v>Religion not stated</c:v>
                </c:pt>
              </c:strCache>
            </c:strRef>
          </c:cat>
          <c:val>
            <c:numRef>
              <c:f>'Religion analysis'!$O$29:$W$29</c:f>
              <c:numCache>
                <c:formatCode>0.0%</c:formatCode>
                <c:ptCount val="9"/>
                <c:pt idx="0">
                  <c:v>0.56421137217993389</c:v>
                </c:pt>
                <c:pt idx="1">
                  <c:v>6.5524054840964503E-3</c:v>
                </c:pt>
                <c:pt idx="2">
                  <c:v>5.9824755488774778E-2</c:v>
                </c:pt>
                <c:pt idx="3">
                  <c:v>1.9511362823285945E-3</c:v>
                </c:pt>
                <c:pt idx="4">
                  <c:v>8.1218455712783938E-2</c:v>
                </c:pt>
                <c:pt idx="5">
                  <c:v>3.9903351331120763E-3</c:v>
                </c:pt>
                <c:pt idx="6">
                  <c:v>5.9249596838553791E-3</c:v>
                </c:pt>
                <c:pt idx="7">
                  <c:v>0.19994055776629296</c:v>
                </c:pt>
                <c:pt idx="8">
                  <c:v>7.6386022268822004E-2</c:v>
                </c:pt>
              </c:numCache>
            </c:numRef>
          </c:val>
        </c:ser>
        <c:dLbls>
          <c:dLblPos val="bestFit"/>
          <c:showLegendKey val="0"/>
          <c:showVal val="1"/>
          <c:showCatName val="0"/>
          <c:showSerName val="0"/>
          <c:showPercent val="0"/>
          <c:showBubbleSize val="0"/>
          <c:showLeaderLines val="1"/>
        </c:dLbls>
        <c:firstSliceAng val="0"/>
        <c:extLst>
          <c:ext xmlns:c15="http://schemas.microsoft.com/office/drawing/2012/chart" uri="{02D57815-91ED-43cb-92C2-25804820EDAC}">
            <c15:filteredPieSeries>
              <c15:ser>
                <c:idx val="0"/>
                <c:order val="0"/>
                <c:dLbls>
                  <c:numFmt formatCode="0.0%" sourceLinked="0"/>
                  <c:spPr>
                    <a:noFill/>
                    <a:ln>
                      <a:noFill/>
                    </a:ln>
                    <a:effectLst/>
                  </c:spPr>
                  <c:dLblPos val="bestFit"/>
                  <c:showLegendKey val="0"/>
                  <c:showVal val="1"/>
                  <c:showCatName val="0"/>
                  <c:showSerName val="0"/>
                  <c:showPercent val="0"/>
                  <c:showBubbleSize val="0"/>
                  <c:showLeaderLines val="1"/>
                  <c:extLst>
                    <c:ext uri="{CE6537A1-D6FC-4f65-9D91-7224C49458BB}"/>
                  </c:extLst>
                </c:dLbls>
                <c:cat>
                  <c:strRef>
                    <c:extLst>
                      <c:ext uri="{02D57815-91ED-43cb-92C2-25804820EDAC}">
                        <c15:formulaRef>
                          <c15:sqref>'Religion analysis'!$O$27:$W$27</c15:sqref>
                        </c15:formulaRef>
                      </c:ext>
                    </c:extLst>
                    <c:strCache>
                      <c:ptCount val="9"/>
                      <c:pt idx="0">
                        <c:v>Christian</c:v>
                      </c:pt>
                      <c:pt idx="1">
                        <c:v>Buddhist</c:v>
                      </c:pt>
                      <c:pt idx="2">
                        <c:v>Hindu</c:v>
                      </c:pt>
                      <c:pt idx="3">
                        <c:v>Jewish</c:v>
                      </c:pt>
                      <c:pt idx="4">
                        <c:v>Moslem</c:v>
                      </c:pt>
                      <c:pt idx="5">
                        <c:v>Sikh</c:v>
                      </c:pt>
                      <c:pt idx="6">
                        <c:v>Other religion</c:v>
                      </c:pt>
                      <c:pt idx="7">
                        <c:v>No religion</c:v>
                      </c:pt>
                      <c:pt idx="8">
                        <c:v>Religion not stated</c:v>
                      </c:pt>
                    </c:strCache>
                  </c:strRef>
                </c:cat>
                <c:val>
                  <c:numRef>
                    <c:extLst>
                      <c:ext uri="{02D57815-91ED-43cb-92C2-25804820EDAC}">
                        <c15:formulaRef>
                          <c15:sqref>'Religion analysis'!$O$28:$W$28</c15:sqref>
                        </c15:formulaRef>
                      </c:ext>
                    </c:extLst>
                    <c:numCache>
                      <c:formatCode>#,##0</c:formatCode>
                      <c:ptCount val="9"/>
                      <c:pt idx="0">
                        <c:v>205022</c:v>
                      </c:pt>
                      <c:pt idx="1">
                        <c:v>2381</c:v>
                      </c:pt>
                      <c:pt idx="2">
                        <c:v>21739</c:v>
                      </c:pt>
                      <c:pt idx="3">
                        <c:v>709</c:v>
                      </c:pt>
                      <c:pt idx="4">
                        <c:v>29513</c:v>
                      </c:pt>
                      <c:pt idx="5">
                        <c:v>1450</c:v>
                      </c:pt>
                      <c:pt idx="6">
                        <c:v>2153</c:v>
                      </c:pt>
                      <c:pt idx="7">
                        <c:v>72654</c:v>
                      </c:pt>
                      <c:pt idx="8">
                        <c:v>27757</c:v>
                      </c:pt>
                    </c:numCache>
                  </c:numRef>
                </c:val>
              </c15:ser>
            </c15:filteredPieSeries>
          </c:ext>
        </c:extLst>
      </c:pieChart>
    </c:plotArea>
    <c:legend>
      <c:legendPos val="r"/>
      <c:overlay val="0"/>
    </c:legend>
    <c:plotVisOnly val="1"/>
    <c:dispBlanksAs val="gap"/>
    <c:showDLblsOverMax val="0"/>
  </c:chart>
  <c:spPr>
    <a:ln>
      <a:solidFill>
        <a:sysClr val="windowText" lastClr="000000"/>
      </a:solidFill>
    </a:ln>
  </c:sp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6514435695538063E-2"/>
          <c:y val="0.21762870594483086"/>
          <c:w val="0.88384776902887141"/>
          <c:h val="0.48518234831541002"/>
        </c:manualLayout>
      </c:layout>
      <c:lineChart>
        <c:grouping val="standard"/>
        <c:varyColors val="0"/>
        <c:ser>
          <c:idx val="0"/>
          <c:order val="0"/>
          <c:tx>
            <c:strRef>
              <c:f>'Immun +'!$G$60</c:f>
              <c:strCache>
                <c:ptCount val="1"/>
                <c:pt idx="0">
                  <c:v>Croydon</c:v>
                </c:pt>
              </c:strCache>
            </c:strRef>
          </c:tx>
          <c:spPr>
            <a:ln w="28575" cap="rnd">
              <a:solidFill>
                <a:srgbClr val="0070C0"/>
              </a:solidFill>
              <a:round/>
            </a:ln>
            <a:effectLst/>
          </c:spPr>
          <c:marker>
            <c:symbol val="none"/>
          </c:marker>
          <c:cat>
            <c:strRef>
              <c:f>'Immun +'!$E$61:$E$76</c:f>
              <c:strCache>
                <c:ptCount val="16"/>
                <c:pt idx="0">
                  <c:v>2000-2002</c:v>
                </c:pt>
                <c:pt idx="1">
                  <c:v>2001-2003</c:v>
                </c:pt>
                <c:pt idx="2">
                  <c:v>2002-2004</c:v>
                </c:pt>
                <c:pt idx="3">
                  <c:v>2003-2005</c:v>
                </c:pt>
                <c:pt idx="4">
                  <c:v>2004-2006</c:v>
                </c:pt>
                <c:pt idx="5">
                  <c:v>2005-2007</c:v>
                </c:pt>
                <c:pt idx="6">
                  <c:v>2006-2008</c:v>
                </c:pt>
                <c:pt idx="7">
                  <c:v>2007-2009</c:v>
                </c:pt>
                <c:pt idx="8">
                  <c:v>2008-2010</c:v>
                </c:pt>
                <c:pt idx="9">
                  <c:v>2009-2011</c:v>
                </c:pt>
                <c:pt idx="10">
                  <c:v>2010-2012</c:v>
                </c:pt>
                <c:pt idx="11">
                  <c:v>2011-2013</c:v>
                </c:pt>
                <c:pt idx="12">
                  <c:v>2012-2014</c:v>
                </c:pt>
                <c:pt idx="13">
                  <c:v>2013-2015</c:v>
                </c:pt>
                <c:pt idx="14">
                  <c:v>2014-2016</c:v>
                </c:pt>
                <c:pt idx="15">
                  <c:v>2015-2017</c:v>
                </c:pt>
              </c:strCache>
            </c:strRef>
          </c:cat>
          <c:val>
            <c:numRef>
              <c:f>'Immun +'!$G$61:$G$76</c:f>
              <c:numCache>
                <c:formatCode>General</c:formatCode>
                <c:ptCount val="16"/>
                <c:pt idx="0">
                  <c:v>30</c:v>
                </c:pt>
                <c:pt idx="1">
                  <c:v>31.6</c:v>
                </c:pt>
                <c:pt idx="2">
                  <c:v>33.700000000000003</c:v>
                </c:pt>
                <c:pt idx="3">
                  <c:v>34</c:v>
                </c:pt>
                <c:pt idx="4">
                  <c:v>32.799999999999997</c:v>
                </c:pt>
                <c:pt idx="5">
                  <c:v>32.200000000000003</c:v>
                </c:pt>
                <c:pt idx="6">
                  <c:v>31.7</c:v>
                </c:pt>
                <c:pt idx="7">
                  <c:v>33.5</c:v>
                </c:pt>
                <c:pt idx="8">
                  <c:v>32.5</c:v>
                </c:pt>
                <c:pt idx="9">
                  <c:v>34</c:v>
                </c:pt>
                <c:pt idx="10">
                  <c:v>33.200000000000003</c:v>
                </c:pt>
                <c:pt idx="11">
                  <c:v>32.6</c:v>
                </c:pt>
                <c:pt idx="12">
                  <c:v>27.5</c:v>
                </c:pt>
                <c:pt idx="13">
                  <c:v>24.6</c:v>
                </c:pt>
                <c:pt idx="14">
                  <c:v>22.2</c:v>
                </c:pt>
                <c:pt idx="15">
                  <c:v>21.3</c:v>
                </c:pt>
              </c:numCache>
            </c:numRef>
          </c:val>
          <c:smooth val="0"/>
        </c:ser>
        <c:ser>
          <c:idx val="1"/>
          <c:order val="1"/>
          <c:tx>
            <c:strRef>
              <c:f>'Immun +'!$H$60</c:f>
              <c:strCache>
                <c:ptCount val="1"/>
                <c:pt idx="0">
                  <c:v>London</c:v>
                </c:pt>
              </c:strCache>
            </c:strRef>
          </c:tx>
          <c:spPr>
            <a:ln w="28575" cap="rnd">
              <a:solidFill>
                <a:schemeClr val="accent2"/>
              </a:solidFill>
              <a:round/>
            </a:ln>
            <a:effectLst/>
          </c:spPr>
          <c:marker>
            <c:symbol val="none"/>
          </c:marker>
          <c:cat>
            <c:strRef>
              <c:f>'Immun +'!$E$61:$E$76</c:f>
              <c:strCache>
                <c:ptCount val="16"/>
                <c:pt idx="0">
                  <c:v>2000-2002</c:v>
                </c:pt>
                <c:pt idx="1">
                  <c:v>2001-2003</c:v>
                </c:pt>
                <c:pt idx="2">
                  <c:v>2002-2004</c:v>
                </c:pt>
                <c:pt idx="3">
                  <c:v>2003-2005</c:v>
                </c:pt>
                <c:pt idx="4">
                  <c:v>2004-2006</c:v>
                </c:pt>
                <c:pt idx="5">
                  <c:v>2005-2007</c:v>
                </c:pt>
                <c:pt idx="6">
                  <c:v>2006-2008</c:v>
                </c:pt>
                <c:pt idx="7">
                  <c:v>2007-2009</c:v>
                </c:pt>
                <c:pt idx="8">
                  <c:v>2008-2010</c:v>
                </c:pt>
                <c:pt idx="9">
                  <c:v>2009-2011</c:v>
                </c:pt>
                <c:pt idx="10">
                  <c:v>2010-2012</c:v>
                </c:pt>
                <c:pt idx="11">
                  <c:v>2011-2013</c:v>
                </c:pt>
                <c:pt idx="12">
                  <c:v>2012-2014</c:v>
                </c:pt>
                <c:pt idx="13">
                  <c:v>2013-2015</c:v>
                </c:pt>
                <c:pt idx="14">
                  <c:v>2014-2016</c:v>
                </c:pt>
                <c:pt idx="15">
                  <c:v>2015-2017</c:v>
                </c:pt>
              </c:strCache>
            </c:strRef>
          </c:cat>
          <c:val>
            <c:numRef>
              <c:f>'Immun +'!$H$61:$H$76</c:f>
              <c:numCache>
                <c:formatCode>General</c:formatCode>
                <c:ptCount val="16"/>
                <c:pt idx="0">
                  <c:v>37.700000000000003</c:v>
                </c:pt>
                <c:pt idx="1">
                  <c:v>39.299999999999997</c:v>
                </c:pt>
                <c:pt idx="2">
                  <c:v>41.6</c:v>
                </c:pt>
                <c:pt idx="3">
                  <c:v>43.1</c:v>
                </c:pt>
                <c:pt idx="4">
                  <c:v>43.8</c:v>
                </c:pt>
                <c:pt idx="5">
                  <c:v>43.9</c:v>
                </c:pt>
                <c:pt idx="6">
                  <c:v>43</c:v>
                </c:pt>
                <c:pt idx="7">
                  <c:v>42.6</c:v>
                </c:pt>
                <c:pt idx="8">
                  <c:v>42</c:v>
                </c:pt>
                <c:pt idx="9">
                  <c:v>41.9</c:v>
                </c:pt>
                <c:pt idx="10">
                  <c:v>41.2</c:v>
                </c:pt>
                <c:pt idx="11">
                  <c:v>39.6</c:v>
                </c:pt>
                <c:pt idx="12">
                  <c:v>35.299999999999997</c:v>
                </c:pt>
                <c:pt idx="13">
                  <c:v>30.5</c:v>
                </c:pt>
                <c:pt idx="14">
                  <c:v>27.1</c:v>
                </c:pt>
                <c:pt idx="15">
                  <c:v>24.3</c:v>
                </c:pt>
              </c:numCache>
            </c:numRef>
          </c:val>
          <c:smooth val="0"/>
        </c:ser>
        <c:ser>
          <c:idx val="2"/>
          <c:order val="2"/>
          <c:tx>
            <c:strRef>
              <c:f>'Immun +'!$I$60</c:f>
              <c:strCache>
                <c:ptCount val="1"/>
                <c:pt idx="0">
                  <c:v>England</c:v>
                </c:pt>
              </c:strCache>
            </c:strRef>
          </c:tx>
          <c:spPr>
            <a:ln w="28575" cap="rnd">
              <a:solidFill>
                <a:srgbClr val="92D050"/>
              </a:solidFill>
              <a:round/>
            </a:ln>
            <a:effectLst/>
          </c:spPr>
          <c:marker>
            <c:symbol val="none"/>
          </c:marker>
          <c:cat>
            <c:strRef>
              <c:f>'Immun +'!$E$61:$E$76</c:f>
              <c:strCache>
                <c:ptCount val="16"/>
                <c:pt idx="0">
                  <c:v>2000-2002</c:v>
                </c:pt>
                <c:pt idx="1">
                  <c:v>2001-2003</c:v>
                </c:pt>
                <c:pt idx="2">
                  <c:v>2002-2004</c:v>
                </c:pt>
                <c:pt idx="3">
                  <c:v>2003-2005</c:v>
                </c:pt>
                <c:pt idx="4">
                  <c:v>2004-2006</c:v>
                </c:pt>
                <c:pt idx="5">
                  <c:v>2005-2007</c:v>
                </c:pt>
                <c:pt idx="6">
                  <c:v>2006-2008</c:v>
                </c:pt>
                <c:pt idx="7">
                  <c:v>2007-2009</c:v>
                </c:pt>
                <c:pt idx="8">
                  <c:v>2008-2010</c:v>
                </c:pt>
                <c:pt idx="9">
                  <c:v>2009-2011</c:v>
                </c:pt>
                <c:pt idx="10">
                  <c:v>2010-2012</c:v>
                </c:pt>
                <c:pt idx="11">
                  <c:v>2011-2013</c:v>
                </c:pt>
                <c:pt idx="12">
                  <c:v>2012-2014</c:v>
                </c:pt>
                <c:pt idx="13">
                  <c:v>2013-2015</c:v>
                </c:pt>
                <c:pt idx="14">
                  <c:v>2014-2016</c:v>
                </c:pt>
                <c:pt idx="15">
                  <c:v>2015-2017</c:v>
                </c:pt>
              </c:strCache>
            </c:strRef>
          </c:cat>
          <c:val>
            <c:numRef>
              <c:f>'Immun +'!$I$61:$I$76</c:f>
              <c:numCache>
                <c:formatCode>General</c:formatCode>
                <c:ptCount val="16"/>
                <c:pt idx="0">
                  <c:v>12.7</c:v>
                </c:pt>
                <c:pt idx="1">
                  <c:v>13.1</c:v>
                </c:pt>
                <c:pt idx="2">
                  <c:v>13.5</c:v>
                </c:pt>
                <c:pt idx="3">
                  <c:v>14.1</c:v>
                </c:pt>
                <c:pt idx="4">
                  <c:v>14.7</c:v>
                </c:pt>
                <c:pt idx="5">
                  <c:v>15</c:v>
                </c:pt>
                <c:pt idx="6">
                  <c:v>15</c:v>
                </c:pt>
                <c:pt idx="7">
                  <c:v>15.1</c:v>
                </c:pt>
                <c:pt idx="8">
                  <c:v>15.1</c:v>
                </c:pt>
                <c:pt idx="9">
                  <c:v>15.2</c:v>
                </c:pt>
                <c:pt idx="10">
                  <c:v>15.1</c:v>
                </c:pt>
                <c:pt idx="11">
                  <c:v>14.7</c:v>
                </c:pt>
                <c:pt idx="12">
                  <c:v>13.5</c:v>
                </c:pt>
                <c:pt idx="13">
                  <c:v>11.9</c:v>
                </c:pt>
                <c:pt idx="14">
                  <c:v>10.8</c:v>
                </c:pt>
                <c:pt idx="15">
                  <c:v>9.9</c:v>
                </c:pt>
              </c:numCache>
            </c:numRef>
          </c:val>
          <c:smooth val="0"/>
        </c:ser>
        <c:dLbls>
          <c:showLegendKey val="0"/>
          <c:showVal val="0"/>
          <c:showCatName val="0"/>
          <c:showSerName val="0"/>
          <c:showPercent val="0"/>
          <c:showBubbleSize val="0"/>
        </c:dLbls>
        <c:smooth val="0"/>
        <c:axId val="624461880"/>
        <c:axId val="624459920"/>
      </c:lineChart>
      <c:catAx>
        <c:axId val="624461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459920"/>
        <c:crosses val="autoZero"/>
        <c:auto val="1"/>
        <c:lblAlgn val="ctr"/>
        <c:lblOffset val="100"/>
        <c:noMultiLvlLbl val="0"/>
      </c:catAx>
      <c:valAx>
        <c:axId val="6244599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461880"/>
        <c:crosses val="autoZero"/>
        <c:crossBetween val="between"/>
      </c:valAx>
      <c:spPr>
        <a:noFill/>
        <a:ln>
          <a:noFill/>
        </a:ln>
        <a:effectLst/>
      </c:spPr>
    </c:plotArea>
    <c:legend>
      <c:legendPos val="b"/>
      <c:layout>
        <c:manualLayout>
          <c:xMode val="edge"/>
          <c:yMode val="edge"/>
          <c:x val="0.22993832020997376"/>
          <c:y val="3.7615193934091573E-2"/>
          <c:w val="0.58065179352580931"/>
          <c:h val="8.6535797608632267E-2"/>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666920219878176"/>
          <c:y val="0.20805548146172309"/>
          <c:w val="0.83597230723518046"/>
          <c:h val="0.67418839249521656"/>
        </c:manualLayout>
      </c:layout>
      <c:lineChart>
        <c:grouping val="standard"/>
        <c:varyColors val="0"/>
        <c:ser>
          <c:idx val="0"/>
          <c:order val="0"/>
          <c:tx>
            <c:strRef>
              <c:f>'Immun +'!$G$85</c:f>
              <c:strCache>
                <c:ptCount val="1"/>
                <c:pt idx="0">
                  <c:v>Croydon</c:v>
                </c:pt>
              </c:strCache>
            </c:strRef>
          </c:tx>
          <c:spPr>
            <a:ln w="28575" cap="rnd">
              <a:solidFill>
                <a:srgbClr val="0070C0"/>
              </a:solidFill>
              <a:round/>
            </a:ln>
            <a:effectLst/>
          </c:spPr>
          <c:marker>
            <c:symbol val="none"/>
          </c:marker>
          <c:cat>
            <c:strRef>
              <c:f>'Immun +'!$E$86:$E$92</c:f>
              <c:strCache>
                <c:ptCount val="7"/>
                <c:pt idx="0">
                  <c:v>2010/11</c:v>
                </c:pt>
                <c:pt idx="1">
                  <c:v>2011/12</c:v>
                </c:pt>
                <c:pt idx="2">
                  <c:v>2012/13</c:v>
                </c:pt>
                <c:pt idx="3">
                  <c:v>2013/14</c:v>
                </c:pt>
                <c:pt idx="4">
                  <c:v>2014/15</c:v>
                </c:pt>
                <c:pt idx="5">
                  <c:v>2015/16</c:v>
                </c:pt>
                <c:pt idx="6">
                  <c:v>2016/17</c:v>
                </c:pt>
              </c:strCache>
            </c:strRef>
          </c:cat>
          <c:val>
            <c:numRef>
              <c:f>'Immun +'!$G$86:$G$92</c:f>
              <c:numCache>
                <c:formatCode>#,##0</c:formatCode>
                <c:ptCount val="7"/>
                <c:pt idx="0">
                  <c:v>2398</c:v>
                </c:pt>
                <c:pt idx="1">
                  <c:v>2554</c:v>
                </c:pt>
                <c:pt idx="2">
                  <c:v>2453</c:v>
                </c:pt>
                <c:pt idx="3">
                  <c:v>2729</c:v>
                </c:pt>
                <c:pt idx="4">
                  <c:v>2631</c:v>
                </c:pt>
                <c:pt idx="5">
                  <c:v>2833</c:v>
                </c:pt>
                <c:pt idx="6">
                  <c:v>2710</c:v>
                </c:pt>
              </c:numCache>
            </c:numRef>
          </c:val>
          <c:smooth val="0"/>
        </c:ser>
        <c:ser>
          <c:idx val="1"/>
          <c:order val="1"/>
          <c:tx>
            <c:strRef>
              <c:f>'Immun +'!$H$85</c:f>
              <c:strCache>
                <c:ptCount val="1"/>
                <c:pt idx="0">
                  <c:v>London</c:v>
                </c:pt>
              </c:strCache>
            </c:strRef>
          </c:tx>
          <c:spPr>
            <a:ln w="28575" cap="rnd">
              <a:solidFill>
                <a:schemeClr val="accent2"/>
              </a:solidFill>
              <a:round/>
            </a:ln>
            <a:effectLst/>
          </c:spPr>
          <c:marker>
            <c:symbol val="none"/>
          </c:marker>
          <c:cat>
            <c:strRef>
              <c:f>'Immun +'!$E$86:$E$92</c:f>
              <c:strCache>
                <c:ptCount val="7"/>
                <c:pt idx="0">
                  <c:v>2010/11</c:v>
                </c:pt>
                <c:pt idx="1">
                  <c:v>2011/12</c:v>
                </c:pt>
                <c:pt idx="2">
                  <c:v>2012/13</c:v>
                </c:pt>
                <c:pt idx="3">
                  <c:v>2013/14</c:v>
                </c:pt>
                <c:pt idx="4">
                  <c:v>2014/15</c:v>
                </c:pt>
                <c:pt idx="5">
                  <c:v>2015/16</c:v>
                </c:pt>
                <c:pt idx="6">
                  <c:v>2016/17</c:v>
                </c:pt>
              </c:strCache>
            </c:strRef>
          </c:cat>
          <c:val>
            <c:numRef>
              <c:f>'Immun +'!$H$86:$H$92</c:f>
              <c:numCache>
                <c:formatCode>#,##0</c:formatCode>
                <c:ptCount val="7"/>
                <c:pt idx="0">
                  <c:v>2280</c:v>
                </c:pt>
                <c:pt idx="1">
                  <c:v>2373</c:v>
                </c:pt>
                <c:pt idx="2">
                  <c:v>2329</c:v>
                </c:pt>
                <c:pt idx="3">
                  <c:v>2281</c:v>
                </c:pt>
                <c:pt idx="4">
                  <c:v>2322</c:v>
                </c:pt>
                <c:pt idx="5">
                  <c:v>2253</c:v>
                </c:pt>
                <c:pt idx="6">
                  <c:v>2201</c:v>
                </c:pt>
              </c:numCache>
            </c:numRef>
          </c:val>
          <c:smooth val="0"/>
        </c:ser>
        <c:ser>
          <c:idx val="2"/>
          <c:order val="2"/>
          <c:tx>
            <c:strRef>
              <c:f>'Immun +'!$I$85</c:f>
              <c:strCache>
                <c:ptCount val="1"/>
                <c:pt idx="0">
                  <c:v>England</c:v>
                </c:pt>
              </c:strCache>
            </c:strRef>
          </c:tx>
          <c:spPr>
            <a:ln w="28575" cap="rnd">
              <a:solidFill>
                <a:srgbClr val="92D050"/>
              </a:solidFill>
              <a:round/>
            </a:ln>
            <a:effectLst/>
          </c:spPr>
          <c:marker>
            <c:symbol val="none"/>
          </c:marker>
          <c:cat>
            <c:strRef>
              <c:f>'Immun +'!$E$86:$E$92</c:f>
              <c:strCache>
                <c:ptCount val="7"/>
                <c:pt idx="0">
                  <c:v>2010/11</c:v>
                </c:pt>
                <c:pt idx="1">
                  <c:v>2011/12</c:v>
                </c:pt>
                <c:pt idx="2">
                  <c:v>2012/13</c:v>
                </c:pt>
                <c:pt idx="3">
                  <c:v>2013/14</c:v>
                </c:pt>
                <c:pt idx="4">
                  <c:v>2014/15</c:v>
                </c:pt>
                <c:pt idx="5">
                  <c:v>2015/16</c:v>
                </c:pt>
                <c:pt idx="6">
                  <c:v>2016/17</c:v>
                </c:pt>
              </c:strCache>
            </c:strRef>
          </c:cat>
          <c:val>
            <c:numRef>
              <c:f>'Immun +'!$I$86:$I$92</c:f>
              <c:numCache>
                <c:formatCode>#,##0</c:formatCode>
                <c:ptCount val="7"/>
                <c:pt idx="0">
                  <c:v>2126</c:v>
                </c:pt>
                <c:pt idx="1">
                  <c:v>2128</c:v>
                </c:pt>
                <c:pt idx="2">
                  <c:v>2097</c:v>
                </c:pt>
                <c:pt idx="3">
                  <c:v>2154</c:v>
                </c:pt>
                <c:pt idx="4">
                  <c:v>2199</c:v>
                </c:pt>
                <c:pt idx="5">
                  <c:v>2169</c:v>
                </c:pt>
                <c:pt idx="6">
                  <c:v>2114</c:v>
                </c:pt>
              </c:numCache>
            </c:numRef>
          </c:val>
          <c:smooth val="0"/>
        </c:ser>
        <c:dLbls>
          <c:showLegendKey val="0"/>
          <c:showVal val="0"/>
          <c:showCatName val="0"/>
          <c:showSerName val="0"/>
          <c:showPercent val="0"/>
          <c:showBubbleSize val="0"/>
        </c:dLbls>
        <c:smooth val="0"/>
        <c:axId val="624461096"/>
        <c:axId val="624456784"/>
      </c:lineChart>
      <c:catAx>
        <c:axId val="624461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456784"/>
        <c:crosses val="autoZero"/>
        <c:auto val="1"/>
        <c:lblAlgn val="ctr"/>
        <c:lblOffset val="100"/>
        <c:noMultiLvlLbl val="0"/>
      </c:catAx>
      <c:valAx>
        <c:axId val="624456784"/>
        <c:scaling>
          <c:orientation val="minMax"/>
          <c:max val="4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461096"/>
        <c:crosses val="autoZero"/>
        <c:crossBetween val="between"/>
      </c:valAx>
      <c:spPr>
        <a:noFill/>
        <a:ln>
          <a:noFill/>
        </a:ln>
        <a:effectLst/>
      </c:spPr>
    </c:plotArea>
    <c:legend>
      <c:legendPos val="b"/>
      <c:layout>
        <c:manualLayout>
          <c:xMode val="edge"/>
          <c:yMode val="edge"/>
          <c:x val="0.17071425438115498"/>
          <c:y val="5.6414220301266686E-2"/>
          <c:w val="0.72798675235233479"/>
          <c:h val="7.643786374529271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302773199861645E-2"/>
          <c:y val="0.1454756755757643"/>
          <c:w val="0.8505410835951206"/>
          <c:h val="0.71263677867731323"/>
        </c:manualLayout>
      </c:layout>
      <c:lineChart>
        <c:grouping val="standard"/>
        <c:varyColors val="0"/>
        <c:ser>
          <c:idx val="0"/>
          <c:order val="0"/>
          <c:tx>
            <c:strRef>
              <c:f>'Immun +'!$G$109</c:f>
              <c:strCache>
                <c:ptCount val="1"/>
                <c:pt idx="0">
                  <c:v>Croydon</c:v>
                </c:pt>
              </c:strCache>
            </c:strRef>
          </c:tx>
          <c:spPr>
            <a:ln w="28575" cap="rnd">
              <a:solidFill>
                <a:srgbClr val="0070C0"/>
              </a:solidFill>
              <a:round/>
            </a:ln>
            <a:effectLst/>
          </c:spPr>
          <c:marker>
            <c:symbol val="none"/>
          </c:marker>
          <c:cat>
            <c:numRef>
              <c:f>'Immun +'!$E$110:$E$117</c:f>
              <c:numCache>
                <c:formatCode>General</c:formatCode>
                <c:ptCount val="8"/>
                <c:pt idx="0">
                  <c:v>2010</c:v>
                </c:pt>
                <c:pt idx="1">
                  <c:v>2011</c:v>
                </c:pt>
                <c:pt idx="2">
                  <c:v>2012</c:v>
                </c:pt>
                <c:pt idx="3">
                  <c:v>2013</c:v>
                </c:pt>
                <c:pt idx="4">
                  <c:v>2014</c:v>
                </c:pt>
                <c:pt idx="5">
                  <c:v>2015</c:v>
                </c:pt>
                <c:pt idx="6">
                  <c:v>2016</c:v>
                </c:pt>
                <c:pt idx="7">
                  <c:v>2017</c:v>
                </c:pt>
              </c:numCache>
            </c:numRef>
          </c:cat>
          <c:val>
            <c:numRef>
              <c:f>'Immun +'!$G$110:$G$117</c:f>
              <c:numCache>
                <c:formatCode>General</c:formatCode>
                <c:ptCount val="8"/>
                <c:pt idx="0">
                  <c:v>9.3000000000000007</c:v>
                </c:pt>
                <c:pt idx="1">
                  <c:v>11</c:v>
                </c:pt>
                <c:pt idx="2">
                  <c:v>8.4</c:v>
                </c:pt>
                <c:pt idx="3">
                  <c:v>8.8000000000000007</c:v>
                </c:pt>
                <c:pt idx="4">
                  <c:v>6.3</c:v>
                </c:pt>
                <c:pt idx="5">
                  <c:v>7.6</c:v>
                </c:pt>
                <c:pt idx="6">
                  <c:v>5.9</c:v>
                </c:pt>
                <c:pt idx="7">
                  <c:v>7.5</c:v>
                </c:pt>
              </c:numCache>
            </c:numRef>
          </c:val>
          <c:smooth val="0"/>
        </c:ser>
        <c:ser>
          <c:idx val="1"/>
          <c:order val="1"/>
          <c:tx>
            <c:strRef>
              <c:f>'Immun +'!$H$109</c:f>
              <c:strCache>
                <c:ptCount val="1"/>
                <c:pt idx="0">
                  <c:v>London</c:v>
                </c:pt>
              </c:strCache>
            </c:strRef>
          </c:tx>
          <c:spPr>
            <a:ln w="28575" cap="rnd">
              <a:solidFill>
                <a:schemeClr val="accent2"/>
              </a:solidFill>
              <a:round/>
            </a:ln>
            <a:effectLst/>
          </c:spPr>
          <c:marker>
            <c:symbol val="none"/>
          </c:marker>
          <c:cat>
            <c:numRef>
              <c:f>'Immun +'!$E$110:$E$117</c:f>
              <c:numCache>
                <c:formatCode>General</c:formatCode>
                <c:ptCount val="8"/>
                <c:pt idx="0">
                  <c:v>2010</c:v>
                </c:pt>
                <c:pt idx="1">
                  <c:v>2011</c:v>
                </c:pt>
                <c:pt idx="2">
                  <c:v>2012</c:v>
                </c:pt>
                <c:pt idx="3">
                  <c:v>2013</c:v>
                </c:pt>
                <c:pt idx="4">
                  <c:v>2014</c:v>
                </c:pt>
                <c:pt idx="5">
                  <c:v>2015</c:v>
                </c:pt>
                <c:pt idx="6">
                  <c:v>2016</c:v>
                </c:pt>
                <c:pt idx="7">
                  <c:v>2017</c:v>
                </c:pt>
              </c:numCache>
            </c:numRef>
          </c:cat>
          <c:val>
            <c:numRef>
              <c:f>'Immun +'!$H$110:$H$117</c:f>
              <c:numCache>
                <c:formatCode>General</c:formatCode>
                <c:ptCount val="8"/>
                <c:pt idx="0">
                  <c:v>8.3000000000000007</c:v>
                </c:pt>
                <c:pt idx="1">
                  <c:v>9.9</c:v>
                </c:pt>
                <c:pt idx="2">
                  <c:v>9.6999999999999993</c:v>
                </c:pt>
                <c:pt idx="3">
                  <c:v>9</c:v>
                </c:pt>
                <c:pt idx="4">
                  <c:v>8</c:v>
                </c:pt>
                <c:pt idx="5">
                  <c:v>7.6</c:v>
                </c:pt>
                <c:pt idx="6">
                  <c:v>7.2</c:v>
                </c:pt>
                <c:pt idx="7">
                  <c:v>7.5</c:v>
                </c:pt>
              </c:numCache>
            </c:numRef>
          </c:val>
          <c:smooth val="0"/>
        </c:ser>
        <c:ser>
          <c:idx val="2"/>
          <c:order val="2"/>
          <c:tx>
            <c:strRef>
              <c:f>'Immun +'!$I$109</c:f>
              <c:strCache>
                <c:ptCount val="1"/>
                <c:pt idx="0">
                  <c:v>England</c:v>
                </c:pt>
              </c:strCache>
            </c:strRef>
          </c:tx>
          <c:spPr>
            <a:ln w="28575" cap="rnd">
              <a:solidFill>
                <a:srgbClr val="92D050"/>
              </a:solidFill>
              <a:round/>
            </a:ln>
            <a:effectLst/>
          </c:spPr>
          <c:marker>
            <c:symbol val="none"/>
          </c:marker>
          <c:cat>
            <c:numRef>
              <c:f>'Immun +'!$E$110:$E$117</c:f>
              <c:numCache>
                <c:formatCode>General</c:formatCode>
                <c:ptCount val="8"/>
                <c:pt idx="0">
                  <c:v>2010</c:v>
                </c:pt>
                <c:pt idx="1">
                  <c:v>2011</c:v>
                </c:pt>
                <c:pt idx="2">
                  <c:v>2012</c:v>
                </c:pt>
                <c:pt idx="3">
                  <c:v>2013</c:v>
                </c:pt>
                <c:pt idx="4">
                  <c:v>2014</c:v>
                </c:pt>
                <c:pt idx="5">
                  <c:v>2015</c:v>
                </c:pt>
                <c:pt idx="6">
                  <c:v>2016</c:v>
                </c:pt>
                <c:pt idx="7">
                  <c:v>2017</c:v>
                </c:pt>
              </c:numCache>
            </c:numRef>
          </c:cat>
          <c:val>
            <c:numRef>
              <c:f>'Immun +'!$I$110:$I$117</c:f>
              <c:numCache>
                <c:formatCode>General</c:formatCode>
                <c:ptCount val="8"/>
                <c:pt idx="0">
                  <c:v>6.7</c:v>
                </c:pt>
                <c:pt idx="1">
                  <c:v>8.6</c:v>
                </c:pt>
                <c:pt idx="2">
                  <c:v>8.3000000000000007</c:v>
                </c:pt>
                <c:pt idx="3">
                  <c:v>7.8</c:v>
                </c:pt>
                <c:pt idx="4">
                  <c:v>7.4</c:v>
                </c:pt>
                <c:pt idx="5">
                  <c:v>6.7</c:v>
                </c:pt>
                <c:pt idx="6">
                  <c:v>6.7</c:v>
                </c:pt>
                <c:pt idx="7">
                  <c:v>6.5</c:v>
                </c:pt>
              </c:numCache>
            </c:numRef>
          </c:val>
          <c:smooth val="0"/>
        </c:ser>
        <c:dLbls>
          <c:showLegendKey val="0"/>
          <c:showVal val="0"/>
          <c:showCatName val="0"/>
          <c:showSerName val="0"/>
          <c:showPercent val="0"/>
          <c:showBubbleSize val="0"/>
        </c:dLbls>
        <c:smooth val="0"/>
        <c:axId val="624462272"/>
        <c:axId val="624457176"/>
      </c:lineChart>
      <c:catAx>
        <c:axId val="624462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624457176"/>
        <c:crosses val="autoZero"/>
        <c:auto val="1"/>
        <c:lblAlgn val="ctr"/>
        <c:lblOffset val="100"/>
        <c:noMultiLvlLbl val="0"/>
      </c:catAx>
      <c:valAx>
        <c:axId val="624457176"/>
        <c:scaling>
          <c:orientation val="minMax"/>
          <c:max val="15"/>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462272"/>
        <c:crosses val="autoZero"/>
        <c:crossBetween val="between"/>
        <c:majorUnit val="5"/>
      </c:valAx>
      <c:spPr>
        <a:noFill/>
        <a:ln>
          <a:noFill/>
        </a:ln>
        <a:effectLst/>
      </c:spPr>
    </c:plotArea>
    <c:legend>
      <c:legendPos val="b"/>
      <c:layout>
        <c:manualLayout>
          <c:xMode val="edge"/>
          <c:yMode val="edge"/>
          <c:x val="0.16068076521512159"/>
          <c:y val="4.6146274984857662E-2"/>
          <c:w val="0.71595684517335889"/>
          <c:h val="6.503586841308298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302773199861645E-2"/>
          <c:y val="0.16894977168949771"/>
          <c:w val="0.85701764023683091"/>
          <c:h val="0.68916262179556331"/>
        </c:manualLayout>
      </c:layout>
      <c:lineChart>
        <c:grouping val="standard"/>
        <c:varyColors val="0"/>
        <c:ser>
          <c:idx val="0"/>
          <c:order val="0"/>
          <c:tx>
            <c:strRef>
              <c:f>'Immun +'!$H$155</c:f>
              <c:strCache>
                <c:ptCount val="1"/>
                <c:pt idx="0">
                  <c:v>Croydon</c:v>
                </c:pt>
              </c:strCache>
            </c:strRef>
          </c:tx>
          <c:spPr>
            <a:ln w="28575" cap="rnd">
              <a:solidFill>
                <a:srgbClr val="0070C0"/>
              </a:solidFill>
              <a:round/>
            </a:ln>
            <a:effectLst/>
          </c:spPr>
          <c:marker>
            <c:symbol val="none"/>
          </c:marker>
          <c:cat>
            <c:numRef>
              <c:f>'Immun +'!$E$156:$E$163</c:f>
              <c:numCache>
                <c:formatCode>General</c:formatCode>
                <c:ptCount val="8"/>
                <c:pt idx="0">
                  <c:v>2010</c:v>
                </c:pt>
                <c:pt idx="1">
                  <c:v>2011</c:v>
                </c:pt>
                <c:pt idx="2">
                  <c:v>2012</c:v>
                </c:pt>
                <c:pt idx="3">
                  <c:v>2013</c:v>
                </c:pt>
                <c:pt idx="4">
                  <c:v>2014</c:v>
                </c:pt>
                <c:pt idx="5">
                  <c:v>2015</c:v>
                </c:pt>
                <c:pt idx="6">
                  <c:v>2016</c:v>
                </c:pt>
                <c:pt idx="7">
                  <c:v>2017</c:v>
                </c:pt>
              </c:numCache>
            </c:numRef>
          </c:cat>
          <c:val>
            <c:numRef>
              <c:f>'Immun +'!$H$156:$H$163</c:f>
              <c:numCache>
                <c:formatCode>0.0</c:formatCode>
                <c:ptCount val="8"/>
                <c:pt idx="0">
                  <c:v>39.299999999999997</c:v>
                </c:pt>
                <c:pt idx="1">
                  <c:v>28.1</c:v>
                </c:pt>
                <c:pt idx="2">
                  <c:v>24.3</c:v>
                </c:pt>
                <c:pt idx="3">
                  <c:v>33.9</c:v>
                </c:pt>
                <c:pt idx="4">
                  <c:v>32</c:v>
                </c:pt>
                <c:pt idx="5">
                  <c:v>31.6</c:v>
                </c:pt>
                <c:pt idx="6">
                  <c:v>31.7</c:v>
                </c:pt>
                <c:pt idx="7">
                  <c:v>37.200000000000003</c:v>
                </c:pt>
              </c:numCache>
            </c:numRef>
          </c:val>
          <c:smooth val="0"/>
        </c:ser>
        <c:ser>
          <c:idx val="1"/>
          <c:order val="1"/>
          <c:tx>
            <c:strRef>
              <c:f>'Immun +'!$I$155</c:f>
              <c:strCache>
                <c:ptCount val="1"/>
                <c:pt idx="0">
                  <c:v>London</c:v>
                </c:pt>
              </c:strCache>
            </c:strRef>
          </c:tx>
          <c:spPr>
            <a:ln w="28575" cap="rnd">
              <a:solidFill>
                <a:schemeClr val="accent2"/>
              </a:solidFill>
              <a:round/>
            </a:ln>
            <a:effectLst/>
          </c:spPr>
          <c:marker>
            <c:symbol val="none"/>
          </c:marker>
          <c:cat>
            <c:numRef>
              <c:f>'Immun +'!$E$156:$E$163</c:f>
              <c:numCache>
                <c:formatCode>General</c:formatCode>
                <c:ptCount val="8"/>
                <c:pt idx="0">
                  <c:v>2010</c:v>
                </c:pt>
                <c:pt idx="1">
                  <c:v>2011</c:v>
                </c:pt>
                <c:pt idx="2">
                  <c:v>2012</c:v>
                </c:pt>
                <c:pt idx="3">
                  <c:v>2013</c:v>
                </c:pt>
                <c:pt idx="4">
                  <c:v>2014</c:v>
                </c:pt>
                <c:pt idx="5">
                  <c:v>2015</c:v>
                </c:pt>
                <c:pt idx="6">
                  <c:v>2016</c:v>
                </c:pt>
                <c:pt idx="7">
                  <c:v>2017</c:v>
                </c:pt>
              </c:numCache>
            </c:numRef>
          </c:cat>
          <c:val>
            <c:numRef>
              <c:f>'Immun +'!$I$156:$I$163</c:f>
              <c:numCache>
                <c:formatCode>0.0</c:formatCode>
                <c:ptCount val="8"/>
                <c:pt idx="0">
                  <c:v>32</c:v>
                </c:pt>
                <c:pt idx="1">
                  <c:v>35.299999999999997</c:v>
                </c:pt>
                <c:pt idx="2">
                  <c:v>35.5</c:v>
                </c:pt>
                <c:pt idx="3">
                  <c:v>35.5</c:v>
                </c:pt>
                <c:pt idx="4">
                  <c:v>38.1</c:v>
                </c:pt>
                <c:pt idx="5">
                  <c:v>41.3</c:v>
                </c:pt>
                <c:pt idx="6">
                  <c:v>40.6</c:v>
                </c:pt>
                <c:pt idx="7">
                  <c:v>42.7</c:v>
                </c:pt>
              </c:numCache>
            </c:numRef>
          </c:val>
          <c:smooth val="0"/>
        </c:ser>
        <c:ser>
          <c:idx val="2"/>
          <c:order val="2"/>
          <c:tx>
            <c:strRef>
              <c:f>'Immun +'!$J$155</c:f>
              <c:strCache>
                <c:ptCount val="1"/>
                <c:pt idx="0">
                  <c:v>England</c:v>
                </c:pt>
              </c:strCache>
            </c:strRef>
          </c:tx>
          <c:spPr>
            <a:ln w="28575" cap="rnd">
              <a:solidFill>
                <a:srgbClr val="92D050"/>
              </a:solidFill>
              <a:round/>
            </a:ln>
            <a:effectLst/>
          </c:spPr>
          <c:marker>
            <c:symbol val="none"/>
          </c:marker>
          <c:cat>
            <c:numRef>
              <c:f>'Immun +'!$E$156:$E$163</c:f>
              <c:numCache>
                <c:formatCode>General</c:formatCode>
                <c:ptCount val="8"/>
                <c:pt idx="0">
                  <c:v>2010</c:v>
                </c:pt>
                <c:pt idx="1">
                  <c:v>2011</c:v>
                </c:pt>
                <c:pt idx="2">
                  <c:v>2012</c:v>
                </c:pt>
                <c:pt idx="3">
                  <c:v>2013</c:v>
                </c:pt>
                <c:pt idx="4">
                  <c:v>2014</c:v>
                </c:pt>
                <c:pt idx="5">
                  <c:v>2015</c:v>
                </c:pt>
                <c:pt idx="6">
                  <c:v>2016</c:v>
                </c:pt>
                <c:pt idx="7">
                  <c:v>2017</c:v>
                </c:pt>
              </c:numCache>
            </c:numRef>
          </c:cat>
          <c:val>
            <c:numRef>
              <c:f>'Immun +'!$J$156:$J$163</c:f>
              <c:numCache>
                <c:formatCode>0.0</c:formatCode>
                <c:ptCount val="8"/>
                <c:pt idx="0">
                  <c:v>31.4</c:v>
                </c:pt>
                <c:pt idx="1">
                  <c:v>34.799999999999997</c:v>
                </c:pt>
                <c:pt idx="2">
                  <c:v>37.1</c:v>
                </c:pt>
                <c:pt idx="3">
                  <c:v>37.5</c:v>
                </c:pt>
                <c:pt idx="4">
                  <c:v>38.4</c:v>
                </c:pt>
                <c:pt idx="5">
                  <c:v>38.4</c:v>
                </c:pt>
                <c:pt idx="6">
                  <c:v>38.700000000000003</c:v>
                </c:pt>
                <c:pt idx="7">
                  <c:v>38.9</c:v>
                </c:pt>
              </c:numCache>
            </c:numRef>
          </c:val>
          <c:smooth val="0"/>
        </c:ser>
        <c:dLbls>
          <c:showLegendKey val="0"/>
          <c:showVal val="0"/>
          <c:showCatName val="0"/>
          <c:showSerName val="0"/>
          <c:showPercent val="0"/>
          <c:showBubbleSize val="0"/>
        </c:dLbls>
        <c:smooth val="0"/>
        <c:axId val="624460312"/>
        <c:axId val="624108080"/>
      </c:lineChart>
      <c:catAx>
        <c:axId val="624460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108080"/>
        <c:crosses val="autoZero"/>
        <c:auto val="1"/>
        <c:lblAlgn val="ctr"/>
        <c:lblOffset val="100"/>
        <c:noMultiLvlLbl val="0"/>
      </c:catAx>
      <c:valAx>
        <c:axId val="624108080"/>
        <c:scaling>
          <c:orientation val="minMax"/>
          <c:max val="5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460312"/>
        <c:crosses val="autoZero"/>
        <c:crossBetween val="between"/>
        <c:majorUnit val="5"/>
      </c:valAx>
      <c:spPr>
        <a:noFill/>
        <a:ln>
          <a:noFill/>
        </a:ln>
        <a:effectLst/>
      </c:spPr>
    </c:plotArea>
    <c:legend>
      <c:legendPos val="b"/>
      <c:layout>
        <c:manualLayout>
          <c:xMode val="edge"/>
          <c:yMode val="edge"/>
          <c:x val="0.15515150449943754"/>
          <c:y val="5.5364866363535541E-2"/>
          <c:w val="0.70861019604692266"/>
          <c:h val="7.6635413761290752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1985608082930673E-2"/>
          <c:y val="8.8473123874487289E-2"/>
          <c:w val="0.89132416632560185"/>
          <c:h val="0.62635539168858412"/>
        </c:manualLayout>
      </c:layout>
      <c:lineChart>
        <c:grouping val="standard"/>
        <c:varyColors val="0"/>
        <c:ser>
          <c:idx val="0"/>
          <c:order val="0"/>
          <c:tx>
            <c:strRef>
              <c:f>Immunisations!$G$37</c:f>
              <c:strCache>
                <c:ptCount val="1"/>
                <c:pt idx="0">
                  <c:v>London</c:v>
                </c:pt>
              </c:strCache>
            </c:strRef>
          </c:tx>
          <c:spPr>
            <a:ln w="28575" cap="rnd">
              <a:solidFill>
                <a:srgbClr val="FF0000"/>
              </a:solidFill>
              <a:round/>
            </a:ln>
            <a:effectLst/>
          </c:spPr>
          <c:marker>
            <c:symbol val="none"/>
          </c:marker>
          <c:cat>
            <c:strRef>
              <c:f>Immunisations!$E$38:$E$52</c:f>
              <c:strCache>
                <c:ptCount val="15"/>
                <c:pt idx="0">
                  <c:v>2001-2003</c:v>
                </c:pt>
                <c:pt idx="1">
                  <c:v>2002-2004</c:v>
                </c:pt>
                <c:pt idx="2">
                  <c:v>2003-2005</c:v>
                </c:pt>
                <c:pt idx="3">
                  <c:v>2004-2006</c:v>
                </c:pt>
                <c:pt idx="4">
                  <c:v>2005-2007</c:v>
                </c:pt>
                <c:pt idx="5">
                  <c:v>2006-2008</c:v>
                </c:pt>
                <c:pt idx="6">
                  <c:v>2007-2009</c:v>
                </c:pt>
                <c:pt idx="7">
                  <c:v>2008-2010</c:v>
                </c:pt>
                <c:pt idx="8">
                  <c:v>2009-2011</c:v>
                </c:pt>
                <c:pt idx="9">
                  <c:v>2010-2012</c:v>
                </c:pt>
                <c:pt idx="10">
                  <c:v>2011-2013</c:v>
                </c:pt>
                <c:pt idx="11">
                  <c:v>2012-2014</c:v>
                </c:pt>
                <c:pt idx="12">
                  <c:v>2013-2015</c:v>
                </c:pt>
                <c:pt idx="13">
                  <c:v>2014-2016</c:v>
                </c:pt>
                <c:pt idx="14">
                  <c:v>2015-2017</c:v>
                </c:pt>
              </c:strCache>
            </c:strRef>
          </c:cat>
          <c:val>
            <c:numRef>
              <c:f>Immunisations!$G$38:$G$52</c:f>
              <c:numCache>
                <c:formatCode>General</c:formatCode>
                <c:ptCount val="15"/>
                <c:pt idx="0">
                  <c:v>256.89999999999998</c:v>
                </c:pt>
                <c:pt idx="1">
                  <c:v>248.2</c:v>
                </c:pt>
                <c:pt idx="2">
                  <c:v>239</c:v>
                </c:pt>
                <c:pt idx="3">
                  <c:v>227</c:v>
                </c:pt>
                <c:pt idx="4">
                  <c:v>217.2</c:v>
                </c:pt>
                <c:pt idx="5">
                  <c:v>211</c:v>
                </c:pt>
                <c:pt idx="6">
                  <c:v>203.5</c:v>
                </c:pt>
                <c:pt idx="7">
                  <c:v>197.5</c:v>
                </c:pt>
                <c:pt idx="8">
                  <c:v>188</c:v>
                </c:pt>
                <c:pt idx="9">
                  <c:v>182.1</c:v>
                </c:pt>
                <c:pt idx="10">
                  <c:v>175.6</c:v>
                </c:pt>
                <c:pt idx="11">
                  <c:v>172.3</c:v>
                </c:pt>
                <c:pt idx="12">
                  <c:v>170.9</c:v>
                </c:pt>
                <c:pt idx="13">
                  <c:v>167.8</c:v>
                </c:pt>
                <c:pt idx="14">
                  <c:v>164.7</c:v>
                </c:pt>
              </c:numCache>
            </c:numRef>
          </c:val>
          <c:smooth val="0"/>
        </c:ser>
        <c:ser>
          <c:idx val="1"/>
          <c:order val="1"/>
          <c:tx>
            <c:strRef>
              <c:f>Immunisations!$H$37</c:f>
              <c:strCache>
                <c:ptCount val="1"/>
                <c:pt idx="0">
                  <c:v>England</c:v>
                </c:pt>
              </c:strCache>
            </c:strRef>
          </c:tx>
          <c:spPr>
            <a:ln w="28575" cap="rnd">
              <a:solidFill>
                <a:srgbClr val="92D050"/>
              </a:solidFill>
              <a:round/>
            </a:ln>
            <a:effectLst/>
          </c:spPr>
          <c:marker>
            <c:symbol val="none"/>
          </c:marker>
          <c:cat>
            <c:strRef>
              <c:f>Immunisations!$E$38:$E$52</c:f>
              <c:strCache>
                <c:ptCount val="15"/>
                <c:pt idx="0">
                  <c:v>2001-2003</c:v>
                </c:pt>
                <c:pt idx="1">
                  <c:v>2002-2004</c:v>
                </c:pt>
                <c:pt idx="2">
                  <c:v>2003-2005</c:v>
                </c:pt>
                <c:pt idx="3">
                  <c:v>2004-2006</c:v>
                </c:pt>
                <c:pt idx="4">
                  <c:v>2005-2007</c:v>
                </c:pt>
                <c:pt idx="5">
                  <c:v>2006-2008</c:v>
                </c:pt>
                <c:pt idx="6">
                  <c:v>2007-2009</c:v>
                </c:pt>
                <c:pt idx="7">
                  <c:v>2008-2010</c:v>
                </c:pt>
                <c:pt idx="8">
                  <c:v>2009-2011</c:v>
                </c:pt>
                <c:pt idx="9">
                  <c:v>2010-2012</c:v>
                </c:pt>
                <c:pt idx="10">
                  <c:v>2011-2013</c:v>
                </c:pt>
                <c:pt idx="11">
                  <c:v>2012-2014</c:v>
                </c:pt>
                <c:pt idx="12">
                  <c:v>2013-2015</c:v>
                </c:pt>
                <c:pt idx="13">
                  <c:v>2014-2016</c:v>
                </c:pt>
                <c:pt idx="14">
                  <c:v>2015-2017</c:v>
                </c:pt>
              </c:strCache>
            </c:strRef>
          </c:cat>
          <c:val>
            <c:numRef>
              <c:f>Immunisations!$H$38:$H$52</c:f>
              <c:numCache>
                <c:formatCode>General</c:formatCode>
                <c:ptCount val="15"/>
                <c:pt idx="0">
                  <c:v>254.7</c:v>
                </c:pt>
                <c:pt idx="1">
                  <c:v>246</c:v>
                </c:pt>
                <c:pt idx="2">
                  <c:v>238.2</c:v>
                </c:pt>
                <c:pt idx="3">
                  <c:v>229.5</c:v>
                </c:pt>
                <c:pt idx="4">
                  <c:v>222.7</c:v>
                </c:pt>
                <c:pt idx="5">
                  <c:v>217.6</c:v>
                </c:pt>
                <c:pt idx="6">
                  <c:v>211.5</c:v>
                </c:pt>
                <c:pt idx="7">
                  <c:v>205.8</c:v>
                </c:pt>
                <c:pt idx="8">
                  <c:v>197.7</c:v>
                </c:pt>
                <c:pt idx="9">
                  <c:v>191.4</c:v>
                </c:pt>
                <c:pt idx="10">
                  <c:v>187.4</c:v>
                </c:pt>
                <c:pt idx="11">
                  <c:v>185.1</c:v>
                </c:pt>
                <c:pt idx="12">
                  <c:v>184.5</c:v>
                </c:pt>
                <c:pt idx="13">
                  <c:v>182.8</c:v>
                </c:pt>
                <c:pt idx="14">
                  <c:v>181.5</c:v>
                </c:pt>
              </c:numCache>
            </c:numRef>
          </c:val>
          <c:smooth val="0"/>
        </c:ser>
        <c:ser>
          <c:idx val="2"/>
          <c:order val="2"/>
          <c:tx>
            <c:strRef>
              <c:f>Immunisations!$I$37</c:f>
              <c:strCache>
                <c:ptCount val="1"/>
                <c:pt idx="0">
                  <c:v>Croydon</c:v>
                </c:pt>
              </c:strCache>
            </c:strRef>
          </c:tx>
          <c:spPr>
            <a:ln w="28575" cap="rnd">
              <a:solidFill>
                <a:srgbClr val="0070C0"/>
              </a:solidFill>
              <a:round/>
            </a:ln>
            <a:effectLst/>
          </c:spPr>
          <c:marker>
            <c:symbol val="none"/>
          </c:marker>
          <c:cat>
            <c:strRef>
              <c:f>Immunisations!$E$38:$E$52</c:f>
              <c:strCache>
                <c:ptCount val="15"/>
                <c:pt idx="0">
                  <c:v>2001-2003</c:v>
                </c:pt>
                <c:pt idx="1">
                  <c:v>2002-2004</c:v>
                </c:pt>
                <c:pt idx="2">
                  <c:v>2003-2005</c:v>
                </c:pt>
                <c:pt idx="3">
                  <c:v>2004-2006</c:v>
                </c:pt>
                <c:pt idx="4">
                  <c:v>2005-2007</c:v>
                </c:pt>
                <c:pt idx="5">
                  <c:v>2006-2008</c:v>
                </c:pt>
                <c:pt idx="6">
                  <c:v>2007-2009</c:v>
                </c:pt>
                <c:pt idx="7">
                  <c:v>2008-2010</c:v>
                </c:pt>
                <c:pt idx="8">
                  <c:v>2009-2011</c:v>
                </c:pt>
                <c:pt idx="9">
                  <c:v>2010-2012</c:v>
                </c:pt>
                <c:pt idx="10">
                  <c:v>2011-2013</c:v>
                </c:pt>
                <c:pt idx="11">
                  <c:v>2012-2014</c:v>
                </c:pt>
                <c:pt idx="12">
                  <c:v>2013-2015</c:v>
                </c:pt>
                <c:pt idx="13">
                  <c:v>2014-2016</c:v>
                </c:pt>
                <c:pt idx="14">
                  <c:v>2015-2017</c:v>
                </c:pt>
              </c:strCache>
            </c:strRef>
          </c:cat>
          <c:val>
            <c:numRef>
              <c:f>Immunisations!$I$38:$I$52</c:f>
              <c:numCache>
                <c:formatCode>General</c:formatCode>
                <c:ptCount val="15"/>
                <c:pt idx="0">
                  <c:v>229.7</c:v>
                </c:pt>
                <c:pt idx="1">
                  <c:v>231.5</c:v>
                </c:pt>
                <c:pt idx="2">
                  <c:v>222.7</c:v>
                </c:pt>
                <c:pt idx="3">
                  <c:v>220.4</c:v>
                </c:pt>
                <c:pt idx="4">
                  <c:v>204.2</c:v>
                </c:pt>
                <c:pt idx="5">
                  <c:v>192.5</c:v>
                </c:pt>
                <c:pt idx="6">
                  <c:v>173.7</c:v>
                </c:pt>
                <c:pt idx="7">
                  <c:v>175.3</c:v>
                </c:pt>
                <c:pt idx="8">
                  <c:v>176.2</c:v>
                </c:pt>
                <c:pt idx="9">
                  <c:v>183.7</c:v>
                </c:pt>
                <c:pt idx="10">
                  <c:v>178</c:v>
                </c:pt>
                <c:pt idx="11">
                  <c:v>181</c:v>
                </c:pt>
                <c:pt idx="12">
                  <c:v>173.2</c:v>
                </c:pt>
                <c:pt idx="13">
                  <c:v>167.3</c:v>
                </c:pt>
                <c:pt idx="14">
                  <c:v>157.4</c:v>
                </c:pt>
              </c:numCache>
            </c:numRef>
          </c:val>
          <c:smooth val="0"/>
        </c:ser>
        <c:dLbls>
          <c:showLegendKey val="0"/>
          <c:showVal val="0"/>
          <c:showCatName val="0"/>
          <c:showSerName val="0"/>
          <c:showPercent val="0"/>
          <c:showBubbleSize val="0"/>
        </c:dLbls>
        <c:smooth val="0"/>
        <c:axId val="624110432"/>
        <c:axId val="624110040"/>
      </c:lineChart>
      <c:catAx>
        <c:axId val="624110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624110040"/>
        <c:crosses val="autoZero"/>
        <c:auto val="1"/>
        <c:lblAlgn val="ctr"/>
        <c:lblOffset val="100"/>
        <c:noMultiLvlLbl val="0"/>
      </c:catAx>
      <c:valAx>
        <c:axId val="6241100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110432"/>
        <c:crosses val="autoZero"/>
        <c:crossBetween val="between"/>
      </c:valAx>
      <c:spPr>
        <a:noFill/>
        <a:ln>
          <a:noFill/>
        </a:ln>
        <a:effectLst/>
      </c:spPr>
    </c:plotArea>
    <c:legend>
      <c:legendPos val="b"/>
      <c:layout>
        <c:manualLayout>
          <c:xMode val="edge"/>
          <c:yMode val="edge"/>
          <c:x val="0.21173556430446197"/>
          <c:y val="4.6874453193350825E-2"/>
          <c:w val="0.69318773637547282"/>
          <c:h val="0.1147023215407933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3410407032454277E-2"/>
          <c:y val="9.5237862847596971E-2"/>
          <c:w val="0.93577893329371564"/>
          <c:h val="0.658162979925483"/>
        </c:manualLayout>
      </c:layout>
      <c:lineChart>
        <c:grouping val="standard"/>
        <c:varyColors val="0"/>
        <c:ser>
          <c:idx val="0"/>
          <c:order val="0"/>
          <c:tx>
            <c:strRef>
              <c:f>'Immun +'!$G$237</c:f>
              <c:strCache>
                <c:ptCount val="1"/>
                <c:pt idx="0">
                  <c:v>Croydon</c:v>
                </c:pt>
              </c:strCache>
            </c:strRef>
          </c:tx>
          <c:spPr>
            <a:ln w="28575" cap="rnd">
              <a:solidFill>
                <a:srgbClr val="0070C0"/>
              </a:solidFill>
              <a:round/>
            </a:ln>
            <a:effectLst/>
          </c:spPr>
          <c:marker>
            <c:symbol val="none"/>
          </c:marker>
          <c:cat>
            <c:strRef>
              <c:f>'Immun +'!$E$238:$E$247</c:f>
              <c:strCache>
                <c:ptCount val="10"/>
                <c:pt idx="0">
                  <c:v>2007-2008</c:v>
                </c:pt>
                <c:pt idx="1">
                  <c:v>2008-2009</c:v>
                </c:pt>
                <c:pt idx="2">
                  <c:v>2009-2010</c:v>
                </c:pt>
                <c:pt idx="3">
                  <c:v>2010-2011</c:v>
                </c:pt>
                <c:pt idx="4">
                  <c:v>2011-2012</c:v>
                </c:pt>
                <c:pt idx="5">
                  <c:v>2012-2013</c:v>
                </c:pt>
                <c:pt idx="6">
                  <c:v>2013-2014</c:v>
                </c:pt>
                <c:pt idx="7">
                  <c:v>2014-2015</c:v>
                </c:pt>
                <c:pt idx="8">
                  <c:v>2015-2016</c:v>
                </c:pt>
                <c:pt idx="9">
                  <c:v>2016-2017</c:v>
                </c:pt>
              </c:strCache>
            </c:strRef>
          </c:cat>
          <c:val>
            <c:numRef>
              <c:f>'Immun +'!$G$238:$G$247</c:f>
              <c:numCache>
                <c:formatCode>General</c:formatCode>
                <c:ptCount val="10"/>
                <c:pt idx="0">
                  <c:v>15.4</c:v>
                </c:pt>
                <c:pt idx="1">
                  <c:v>27.4</c:v>
                </c:pt>
                <c:pt idx="2">
                  <c:v>16.600000000000001</c:v>
                </c:pt>
                <c:pt idx="3">
                  <c:v>10.4</c:v>
                </c:pt>
                <c:pt idx="4">
                  <c:v>16.5</c:v>
                </c:pt>
                <c:pt idx="5">
                  <c:v>18.600000000000001</c:v>
                </c:pt>
                <c:pt idx="6">
                  <c:v>16.399999999999999</c:v>
                </c:pt>
                <c:pt idx="7">
                  <c:v>21.2</c:v>
                </c:pt>
                <c:pt idx="8">
                  <c:v>14.4</c:v>
                </c:pt>
                <c:pt idx="9">
                  <c:v>19.8</c:v>
                </c:pt>
              </c:numCache>
            </c:numRef>
          </c:val>
          <c:smooth val="0"/>
        </c:ser>
        <c:ser>
          <c:idx val="1"/>
          <c:order val="1"/>
          <c:tx>
            <c:strRef>
              <c:f>'Immun +'!$H$237</c:f>
              <c:strCache>
                <c:ptCount val="1"/>
                <c:pt idx="0">
                  <c:v>London</c:v>
                </c:pt>
              </c:strCache>
            </c:strRef>
          </c:tx>
          <c:spPr>
            <a:ln w="28575" cap="rnd">
              <a:solidFill>
                <a:schemeClr val="accent2"/>
              </a:solidFill>
              <a:round/>
            </a:ln>
            <a:effectLst/>
          </c:spPr>
          <c:marker>
            <c:symbol val="none"/>
          </c:marker>
          <c:cat>
            <c:strRef>
              <c:f>'Immun +'!$E$238:$E$247</c:f>
              <c:strCache>
                <c:ptCount val="10"/>
                <c:pt idx="0">
                  <c:v>2007-2008</c:v>
                </c:pt>
                <c:pt idx="1">
                  <c:v>2008-2009</c:v>
                </c:pt>
                <c:pt idx="2">
                  <c:v>2009-2010</c:v>
                </c:pt>
                <c:pt idx="3">
                  <c:v>2010-2011</c:v>
                </c:pt>
                <c:pt idx="4">
                  <c:v>2011-2012</c:v>
                </c:pt>
                <c:pt idx="5">
                  <c:v>2012-2013</c:v>
                </c:pt>
                <c:pt idx="6">
                  <c:v>2013-2014</c:v>
                </c:pt>
                <c:pt idx="7">
                  <c:v>2014-2015</c:v>
                </c:pt>
                <c:pt idx="8">
                  <c:v>2015-2016</c:v>
                </c:pt>
                <c:pt idx="9">
                  <c:v>2016-2017</c:v>
                </c:pt>
              </c:strCache>
            </c:strRef>
          </c:cat>
          <c:val>
            <c:numRef>
              <c:f>'Immun +'!$H$238:$H$247</c:f>
              <c:numCache>
                <c:formatCode>General</c:formatCode>
                <c:ptCount val="10"/>
                <c:pt idx="0">
                  <c:v>17.600000000000001</c:v>
                </c:pt>
                <c:pt idx="1">
                  <c:v>24.7</c:v>
                </c:pt>
                <c:pt idx="2">
                  <c:v>16.2</c:v>
                </c:pt>
                <c:pt idx="3">
                  <c:v>17.3</c:v>
                </c:pt>
                <c:pt idx="4">
                  <c:v>19.100000000000001</c:v>
                </c:pt>
                <c:pt idx="5">
                  <c:v>18.899999999999999</c:v>
                </c:pt>
                <c:pt idx="6">
                  <c:v>11.8</c:v>
                </c:pt>
                <c:pt idx="7">
                  <c:v>26.7</c:v>
                </c:pt>
                <c:pt idx="8">
                  <c:v>14.2</c:v>
                </c:pt>
                <c:pt idx="9">
                  <c:v>22.9</c:v>
                </c:pt>
              </c:numCache>
            </c:numRef>
          </c:val>
          <c:smooth val="0"/>
        </c:ser>
        <c:ser>
          <c:idx val="2"/>
          <c:order val="2"/>
          <c:tx>
            <c:strRef>
              <c:f>'Immun +'!$I$237</c:f>
              <c:strCache>
                <c:ptCount val="1"/>
                <c:pt idx="0">
                  <c:v>England</c:v>
                </c:pt>
              </c:strCache>
            </c:strRef>
          </c:tx>
          <c:spPr>
            <a:ln w="28575" cap="rnd">
              <a:solidFill>
                <a:srgbClr val="92D050"/>
              </a:solidFill>
              <a:round/>
            </a:ln>
            <a:effectLst/>
          </c:spPr>
          <c:marker>
            <c:symbol val="none"/>
          </c:marker>
          <c:cat>
            <c:strRef>
              <c:f>'Immun +'!$E$238:$E$247</c:f>
              <c:strCache>
                <c:ptCount val="10"/>
                <c:pt idx="0">
                  <c:v>2007-2008</c:v>
                </c:pt>
                <c:pt idx="1">
                  <c:v>2008-2009</c:v>
                </c:pt>
                <c:pt idx="2">
                  <c:v>2009-2010</c:v>
                </c:pt>
                <c:pt idx="3">
                  <c:v>2010-2011</c:v>
                </c:pt>
                <c:pt idx="4">
                  <c:v>2011-2012</c:v>
                </c:pt>
                <c:pt idx="5">
                  <c:v>2012-2013</c:v>
                </c:pt>
                <c:pt idx="6">
                  <c:v>2013-2014</c:v>
                </c:pt>
                <c:pt idx="7">
                  <c:v>2014-2015</c:v>
                </c:pt>
                <c:pt idx="8">
                  <c:v>2015-2016</c:v>
                </c:pt>
                <c:pt idx="9">
                  <c:v>2016-2017</c:v>
                </c:pt>
              </c:strCache>
            </c:strRef>
          </c:cat>
          <c:val>
            <c:numRef>
              <c:f>'Immun +'!$I$238:$I$247</c:f>
              <c:numCache>
                <c:formatCode>General</c:formatCode>
                <c:ptCount val="10"/>
                <c:pt idx="0">
                  <c:v>16</c:v>
                </c:pt>
                <c:pt idx="1">
                  <c:v>24</c:v>
                </c:pt>
                <c:pt idx="2">
                  <c:v>17.2</c:v>
                </c:pt>
                <c:pt idx="3">
                  <c:v>17</c:v>
                </c:pt>
                <c:pt idx="4">
                  <c:v>16.100000000000001</c:v>
                </c:pt>
                <c:pt idx="5">
                  <c:v>20.100000000000001</c:v>
                </c:pt>
                <c:pt idx="6">
                  <c:v>11.6</c:v>
                </c:pt>
                <c:pt idx="7">
                  <c:v>27.7</c:v>
                </c:pt>
                <c:pt idx="8">
                  <c:v>15.1</c:v>
                </c:pt>
                <c:pt idx="9">
                  <c:v>21.6</c:v>
                </c:pt>
              </c:numCache>
            </c:numRef>
          </c:val>
          <c:smooth val="0"/>
        </c:ser>
        <c:dLbls>
          <c:showLegendKey val="0"/>
          <c:showVal val="0"/>
          <c:showCatName val="0"/>
          <c:showSerName val="0"/>
          <c:showPercent val="0"/>
          <c:showBubbleSize val="0"/>
        </c:dLbls>
        <c:smooth val="0"/>
        <c:axId val="624110824"/>
        <c:axId val="624107296"/>
      </c:lineChart>
      <c:catAx>
        <c:axId val="624110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107296"/>
        <c:crosses val="autoZero"/>
        <c:auto val="1"/>
        <c:lblAlgn val="ctr"/>
        <c:lblOffset val="100"/>
        <c:noMultiLvlLbl val="0"/>
      </c:catAx>
      <c:valAx>
        <c:axId val="624107296"/>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4110824"/>
        <c:crosses val="autoZero"/>
        <c:crossBetween val="between"/>
      </c:valAx>
      <c:spPr>
        <a:noFill/>
        <a:ln>
          <a:noFill/>
        </a:ln>
        <a:effectLst/>
      </c:spPr>
    </c:plotArea>
    <c:legend>
      <c:legendPos val="b"/>
      <c:layout>
        <c:manualLayout>
          <c:xMode val="edge"/>
          <c:yMode val="edge"/>
          <c:x val="0.24133545806774154"/>
          <c:y val="3.7989669740480285E-2"/>
          <c:w val="0.53091127127917792"/>
          <c:h val="7.4599477664301861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solidFill>
        <a:schemeClr val="tx1"/>
      </a:solidFill>
      <a:round/>
    </a:ln>
    <a:effectLst/>
  </c:spPr>
  <c:txPr>
    <a:bodyPr/>
    <a:lstStyle/>
    <a:p>
      <a:pPr>
        <a:defRPr/>
      </a:pPr>
      <a:endParaRPr lang="en-US"/>
    </a:p>
  </c:txPr>
  <c:externalData r:id="rId3">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88648293963255"/>
          <c:y val="0.21296296296296297"/>
          <c:w val="0.81966907261592292"/>
          <c:h val="0.57373432487605724"/>
        </c:manualLayout>
      </c:layout>
      <c:lineChart>
        <c:grouping val="standard"/>
        <c:varyColors val="0"/>
        <c:ser>
          <c:idx val="0"/>
          <c:order val="0"/>
          <c:tx>
            <c:strRef>
              <c:f>CSC!$A$6</c:f>
              <c:strCache>
                <c:ptCount val="1"/>
                <c:pt idx="0">
                  <c:v>Croydon</c:v>
                </c:pt>
              </c:strCache>
            </c:strRef>
          </c:tx>
          <c:spPr>
            <a:ln w="28575" cap="rnd">
              <a:solidFill>
                <a:schemeClr val="accent1"/>
              </a:solidFill>
              <a:round/>
            </a:ln>
            <a:effectLst/>
          </c:spPr>
          <c:marker>
            <c:symbol val="none"/>
          </c:marker>
          <c:cat>
            <c:numRef>
              <c:f>CSC!$C$5:$G$5</c:f>
              <c:numCache>
                <c:formatCode>General</c:formatCode>
                <c:ptCount val="5"/>
                <c:pt idx="0">
                  <c:v>2014</c:v>
                </c:pt>
                <c:pt idx="1">
                  <c:v>2015</c:v>
                </c:pt>
                <c:pt idx="2">
                  <c:v>2016</c:v>
                </c:pt>
                <c:pt idx="3">
                  <c:v>2017</c:v>
                </c:pt>
                <c:pt idx="4">
                  <c:v>2018</c:v>
                </c:pt>
              </c:numCache>
            </c:numRef>
          </c:cat>
          <c:val>
            <c:numRef>
              <c:f>CSC!$C$6:$G$6</c:f>
              <c:numCache>
                <c:formatCode>0.00</c:formatCode>
                <c:ptCount val="5"/>
                <c:pt idx="0">
                  <c:v>410.3</c:v>
                </c:pt>
                <c:pt idx="1">
                  <c:v>400.8</c:v>
                </c:pt>
                <c:pt idx="2">
                  <c:v>427.1</c:v>
                </c:pt>
                <c:pt idx="3">
                  <c:v>392.70000000000005</c:v>
                </c:pt>
                <c:pt idx="4">
                  <c:v>548.5</c:v>
                </c:pt>
              </c:numCache>
            </c:numRef>
          </c:val>
          <c:smooth val="0"/>
        </c:ser>
        <c:ser>
          <c:idx val="1"/>
          <c:order val="1"/>
          <c:tx>
            <c:strRef>
              <c:f>CSC!$A$7</c:f>
              <c:strCache>
                <c:ptCount val="1"/>
                <c:pt idx="0">
                  <c:v>Outer London</c:v>
                </c:pt>
              </c:strCache>
            </c:strRef>
          </c:tx>
          <c:spPr>
            <a:ln w="28575" cap="rnd">
              <a:solidFill>
                <a:schemeClr val="accent2"/>
              </a:solidFill>
              <a:round/>
            </a:ln>
            <a:effectLst/>
          </c:spPr>
          <c:marker>
            <c:symbol val="none"/>
          </c:marker>
          <c:cat>
            <c:numRef>
              <c:f>CSC!$C$5:$G$5</c:f>
              <c:numCache>
                <c:formatCode>General</c:formatCode>
                <c:ptCount val="5"/>
                <c:pt idx="0">
                  <c:v>2014</c:v>
                </c:pt>
                <c:pt idx="1">
                  <c:v>2015</c:v>
                </c:pt>
                <c:pt idx="2">
                  <c:v>2016</c:v>
                </c:pt>
                <c:pt idx="3">
                  <c:v>2017</c:v>
                </c:pt>
                <c:pt idx="4">
                  <c:v>2018</c:v>
                </c:pt>
              </c:numCache>
            </c:numRef>
          </c:cat>
          <c:val>
            <c:numRef>
              <c:f>CSC!$C$7:$G$7</c:f>
              <c:numCache>
                <c:formatCode>0.00</c:formatCode>
                <c:ptCount val="5"/>
                <c:pt idx="0">
                  <c:v>312.7</c:v>
                </c:pt>
                <c:pt idx="1">
                  <c:v>322.8</c:v>
                </c:pt>
                <c:pt idx="2">
                  <c:v>312.39999999999998</c:v>
                </c:pt>
                <c:pt idx="3">
                  <c:v>308.10000000000002</c:v>
                </c:pt>
                <c:pt idx="4">
                  <c:v>327.2</c:v>
                </c:pt>
              </c:numCache>
            </c:numRef>
          </c:val>
          <c:smooth val="0"/>
        </c:ser>
        <c:ser>
          <c:idx val="2"/>
          <c:order val="2"/>
          <c:tx>
            <c:strRef>
              <c:f>CSC!$A$8</c:f>
              <c:strCache>
                <c:ptCount val="1"/>
                <c:pt idx="0">
                  <c:v>England</c:v>
                </c:pt>
              </c:strCache>
            </c:strRef>
          </c:tx>
          <c:spPr>
            <a:ln w="28575" cap="rnd">
              <a:solidFill>
                <a:schemeClr val="accent3"/>
              </a:solidFill>
              <a:round/>
            </a:ln>
            <a:effectLst/>
          </c:spPr>
          <c:marker>
            <c:symbol val="none"/>
          </c:marker>
          <c:cat>
            <c:numRef>
              <c:f>CSC!$C$5:$G$5</c:f>
              <c:numCache>
                <c:formatCode>General</c:formatCode>
                <c:ptCount val="5"/>
                <c:pt idx="0">
                  <c:v>2014</c:v>
                </c:pt>
                <c:pt idx="1">
                  <c:v>2015</c:v>
                </c:pt>
                <c:pt idx="2">
                  <c:v>2016</c:v>
                </c:pt>
                <c:pt idx="3">
                  <c:v>2017</c:v>
                </c:pt>
                <c:pt idx="4">
                  <c:v>2018</c:v>
                </c:pt>
              </c:numCache>
            </c:numRef>
          </c:cat>
          <c:val>
            <c:numRef>
              <c:f>CSC!$C$8:$G$8</c:f>
              <c:numCache>
                <c:formatCode>0.00</c:formatCode>
                <c:ptCount val="5"/>
                <c:pt idx="0">
                  <c:v>346.40000000000003</c:v>
                </c:pt>
                <c:pt idx="1">
                  <c:v>337.3</c:v>
                </c:pt>
                <c:pt idx="2">
                  <c:v>337.70000000000005</c:v>
                </c:pt>
                <c:pt idx="3">
                  <c:v>330.40000000000003</c:v>
                </c:pt>
                <c:pt idx="4">
                  <c:v>341</c:v>
                </c:pt>
              </c:numCache>
            </c:numRef>
          </c:val>
          <c:smooth val="0"/>
        </c:ser>
        <c:dLbls>
          <c:showLegendKey val="0"/>
          <c:showVal val="0"/>
          <c:showCatName val="0"/>
          <c:showSerName val="0"/>
          <c:showPercent val="0"/>
          <c:showBubbleSize val="0"/>
        </c:dLbls>
        <c:smooth val="0"/>
        <c:axId val="624109648"/>
        <c:axId val="624107688"/>
      </c:lineChart>
      <c:catAx>
        <c:axId val="624109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24107688"/>
        <c:crosses val="autoZero"/>
        <c:auto val="1"/>
        <c:lblAlgn val="ctr"/>
        <c:lblOffset val="100"/>
        <c:noMultiLvlLbl val="0"/>
      </c:catAx>
      <c:valAx>
        <c:axId val="624107688"/>
        <c:scaling>
          <c:orientation val="minMax"/>
          <c:max val="6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24109648"/>
        <c:crosses val="autoZero"/>
        <c:crossBetween val="between"/>
      </c:valAx>
      <c:spPr>
        <a:noFill/>
        <a:ln>
          <a:noFill/>
        </a:ln>
        <a:effectLst/>
      </c:spPr>
    </c:plotArea>
    <c:legend>
      <c:legendPos val="b"/>
      <c:layout>
        <c:manualLayout>
          <c:xMode val="edge"/>
          <c:yMode val="edge"/>
          <c:x val="0.17309832120041599"/>
          <c:y val="4.6874277701588668E-2"/>
          <c:w val="0.70866522062100723"/>
          <c:h val="7.9547205571906254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pPr>
      <a:endParaRPr lang="en-US"/>
    </a:p>
  </c:txPr>
  <c:externalData r:id="rId3">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88648293963255"/>
          <c:y val="0.21296296296296297"/>
          <c:w val="0.81966907261592292"/>
          <c:h val="0.57373432487605724"/>
        </c:manualLayout>
      </c:layout>
      <c:lineChart>
        <c:grouping val="standard"/>
        <c:varyColors val="0"/>
        <c:ser>
          <c:idx val="0"/>
          <c:order val="0"/>
          <c:tx>
            <c:strRef>
              <c:f>CSC!$A$18</c:f>
              <c:strCache>
                <c:ptCount val="1"/>
                <c:pt idx="0">
                  <c:v>Croydon</c:v>
                </c:pt>
              </c:strCache>
            </c:strRef>
          </c:tx>
          <c:spPr>
            <a:ln w="28575" cap="rnd">
              <a:solidFill>
                <a:schemeClr val="accent1"/>
              </a:solidFill>
              <a:round/>
            </a:ln>
            <a:effectLst/>
          </c:spPr>
          <c:marker>
            <c:symbol val="none"/>
          </c:marker>
          <c:cat>
            <c:numRef>
              <c:f>CSC!$C$17:$G$17</c:f>
              <c:numCache>
                <c:formatCode>General</c:formatCode>
                <c:ptCount val="5"/>
                <c:pt idx="0">
                  <c:v>2014</c:v>
                </c:pt>
                <c:pt idx="1">
                  <c:v>2015</c:v>
                </c:pt>
                <c:pt idx="2">
                  <c:v>2016</c:v>
                </c:pt>
                <c:pt idx="3">
                  <c:v>2017</c:v>
                </c:pt>
                <c:pt idx="4">
                  <c:v>2018</c:v>
                </c:pt>
              </c:numCache>
            </c:numRef>
          </c:cat>
          <c:val>
            <c:numRef>
              <c:f>CSC!$C$18:$G$18</c:f>
              <c:numCache>
                <c:formatCode>0.00</c:formatCode>
                <c:ptCount val="5"/>
                <c:pt idx="0">
                  <c:v>80.7</c:v>
                </c:pt>
                <c:pt idx="1">
                  <c:v>116.5</c:v>
                </c:pt>
                <c:pt idx="2">
                  <c:v>126.4</c:v>
                </c:pt>
                <c:pt idx="3">
                  <c:v>137</c:v>
                </c:pt>
                <c:pt idx="4">
                  <c:v>169.3</c:v>
                </c:pt>
              </c:numCache>
            </c:numRef>
          </c:val>
          <c:smooth val="0"/>
        </c:ser>
        <c:ser>
          <c:idx val="1"/>
          <c:order val="1"/>
          <c:tx>
            <c:strRef>
              <c:f>CSC!$A$19</c:f>
              <c:strCache>
                <c:ptCount val="1"/>
                <c:pt idx="0">
                  <c:v>Outer London</c:v>
                </c:pt>
              </c:strCache>
            </c:strRef>
          </c:tx>
          <c:spPr>
            <a:ln w="28575" cap="rnd">
              <a:solidFill>
                <a:schemeClr val="accent2"/>
              </a:solidFill>
              <a:round/>
            </a:ln>
            <a:effectLst/>
          </c:spPr>
          <c:marker>
            <c:symbol val="none"/>
          </c:marker>
          <c:cat>
            <c:numRef>
              <c:f>CSC!$C$17:$G$17</c:f>
              <c:numCache>
                <c:formatCode>General</c:formatCode>
                <c:ptCount val="5"/>
                <c:pt idx="0">
                  <c:v>2014</c:v>
                </c:pt>
                <c:pt idx="1">
                  <c:v>2015</c:v>
                </c:pt>
                <c:pt idx="2">
                  <c:v>2016</c:v>
                </c:pt>
                <c:pt idx="3">
                  <c:v>2017</c:v>
                </c:pt>
                <c:pt idx="4">
                  <c:v>2018</c:v>
                </c:pt>
              </c:numCache>
            </c:numRef>
          </c:cat>
          <c:val>
            <c:numRef>
              <c:f>CSC!$C$19:$G$19</c:f>
              <c:numCache>
                <c:formatCode>0.00</c:formatCode>
                <c:ptCount val="5"/>
                <c:pt idx="0">
                  <c:v>107.7</c:v>
                </c:pt>
                <c:pt idx="1">
                  <c:v>131.6</c:v>
                </c:pt>
                <c:pt idx="2">
                  <c:v>140.5</c:v>
                </c:pt>
                <c:pt idx="3">
                  <c:v>152.30000000000001</c:v>
                </c:pt>
                <c:pt idx="4">
                  <c:v>156.4</c:v>
                </c:pt>
              </c:numCache>
            </c:numRef>
          </c:val>
          <c:smooth val="0"/>
        </c:ser>
        <c:ser>
          <c:idx val="2"/>
          <c:order val="2"/>
          <c:tx>
            <c:strRef>
              <c:f>CSC!$A$20</c:f>
              <c:strCache>
                <c:ptCount val="1"/>
                <c:pt idx="0">
                  <c:v>England</c:v>
                </c:pt>
              </c:strCache>
            </c:strRef>
          </c:tx>
          <c:spPr>
            <a:ln w="28575" cap="rnd">
              <a:solidFill>
                <a:schemeClr val="accent3"/>
              </a:solidFill>
              <a:round/>
            </a:ln>
            <a:effectLst/>
          </c:spPr>
          <c:marker>
            <c:symbol val="none"/>
          </c:marker>
          <c:cat>
            <c:numRef>
              <c:f>CSC!$C$17:$G$17</c:f>
              <c:numCache>
                <c:formatCode>General</c:formatCode>
                <c:ptCount val="5"/>
                <c:pt idx="0">
                  <c:v>2014</c:v>
                </c:pt>
                <c:pt idx="1">
                  <c:v>2015</c:v>
                </c:pt>
                <c:pt idx="2">
                  <c:v>2016</c:v>
                </c:pt>
                <c:pt idx="3">
                  <c:v>2017</c:v>
                </c:pt>
                <c:pt idx="4">
                  <c:v>2018</c:v>
                </c:pt>
              </c:numCache>
            </c:numRef>
          </c:cat>
          <c:val>
            <c:numRef>
              <c:f>CSC!$C$20:$G$20</c:f>
              <c:numCache>
                <c:formatCode>0.00</c:formatCode>
                <c:ptCount val="5"/>
                <c:pt idx="0">
                  <c:v>124.10000000000001</c:v>
                </c:pt>
                <c:pt idx="1">
                  <c:v>138.20000000000002</c:v>
                </c:pt>
                <c:pt idx="2">
                  <c:v>147.5</c:v>
                </c:pt>
                <c:pt idx="3">
                  <c:v>157.4</c:v>
                </c:pt>
                <c:pt idx="4">
                  <c:v>166.9</c:v>
                </c:pt>
              </c:numCache>
            </c:numRef>
          </c:val>
          <c:smooth val="0"/>
        </c:ser>
        <c:dLbls>
          <c:showLegendKey val="0"/>
          <c:showVal val="0"/>
          <c:showCatName val="0"/>
          <c:showSerName val="0"/>
          <c:showPercent val="0"/>
          <c:showBubbleSize val="0"/>
        </c:dLbls>
        <c:smooth val="0"/>
        <c:axId val="632456376"/>
        <c:axId val="632457552"/>
      </c:lineChart>
      <c:catAx>
        <c:axId val="632456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32457552"/>
        <c:crosses val="autoZero"/>
        <c:auto val="1"/>
        <c:lblAlgn val="ctr"/>
        <c:lblOffset val="100"/>
        <c:noMultiLvlLbl val="0"/>
      </c:catAx>
      <c:valAx>
        <c:axId val="632457552"/>
        <c:scaling>
          <c:orientation val="minMax"/>
          <c:max val="2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32456376"/>
        <c:crosses val="autoZero"/>
        <c:crossBetween val="between"/>
        <c:majorUnit val="50"/>
      </c:valAx>
      <c:spPr>
        <a:noFill/>
        <a:ln>
          <a:noFill/>
        </a:ln>
        <a:effectLst/>
      </c:spPr>
    </c:plotArea>
    <c:legend>
      <c:legendPos val="b"/>
      <c:layout>
        <c:manualLayout>
          <c:xMode val="edge"/>
          <c:yMode val="edge"/>
          <c:x val="0.17932051701084534"/>
          <c:y val="6.0669794792274995E-2"/>
          <c:w val="0.69960861684742237"/>
          <c:h val="8.4216525363997013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pPr>
      <a:endParaRPr lang="en-US"/>
    </a:p>
  </c:txPr>
  <c:externalData r:id="rId3">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88648293963255"/>
          <c:y val="0.21296296296296297"/>
          <c:w val="0.81966907261592292"/>
          <c:h val="0.57373432487605724"/>
        </c:manualLayout>
      </c:layout>
      <c:lineChart>
        <c:grouping val="standard"/>
        <c:varyColors val="0"/>
        <c:ser>
          <c:idx val="0"/>
          <c:order val="0"/>
          <c:tx>
            <c:strRef>
              <c:f>CSC!$A$34</c:f>
              <c:strCache>
                <c:ptCount val="1"/>
                <c:pt idx="0">
                  <c:v>Croydon</c:v>
                </c:pt>
              </c:strCache>
            </c:strRef>
          </c:tx>
          <c:spPr>
            <a:ln w="28575" cap="rnd">
              <a:solidFill>
                <a:schemeClr val="accent1"/>
              </a:solidFill>
              <a:round/>
            </a:ln>
            <a:effectLst/>
          </c:spPr>
          <c:marker>
            <c:symbol val="none"/>
          </c:marker>
          <c:cat>
            <c:numRef>
              <c:f>CSC!$C$33:$G$33</c:f>
              <c:numCache>
                <c:formatCode>General</c:formatCode>
                <c:ptCount val="5"/>
                <c:pt idx="0">
                  <c:v>2014</c:v>
                </c:pt>
                <c:pt idx="1">
                  <c:v>2015</c:v>
                </c:pt>
                <c:pt idx="2">
                  <c:v>2016</c:v>
                </c:pt>
                <c:pt idx="3">
                  <c:v>2017</c:v>
                </c:pt>
                <c:pt idx="4">
                  <c:v>2018</c:v>
                </c:pt>
              </c:numCache>
            </c:numRef>
          </c:cat>
          <c:val>
            <c:numRef>
              <c:f>CSC!$C$34:$G$34</c:f>
              <c:numCache>
                <c:formatCode>0.00</c:formatCode>
                <c:ptCount val="5"/>
                <c:pt idx="0">
                  <c:v>51.6</c:v>
                </c:pt>
                <c:pt idx="1">
                  <c:v>52.6</c:v>
                </c:pt>
                <c:pt idx="2">
                  <c:v>55.5</c:v>
                </c:pt>
                <c:pt idx="3">
                  <c:v>65</c:v>
                </c:pt>
                <c:pt idx="4">
                  <c:v>90.1</c:v>
                </c:pt>
              </c:numCache>
            </c:numRef>
          </c:val>
          <c:smooth val="0"/>
        </c:ser>
        <c:ser>
          <c:idx val="1"/>
          <c:order val="1"/>
          <c:tx>
            <c:strRef>
              <c:f>CSC!$A$35</c:f>
              <c:strCache>
                <c:ptCount val="1"/>
                <c:pt idx="0">
                  <c:v>Outer London</c:v>
                </c:pt>
              </c:strCache>
            </c:strRef>
          </c:tx>
          <c:spPr>
            <a:ln w="28575" cap="rnd">
              <a:solidFill>
                <a:schemeClr val="accent2"/>
              </a:solidFill>
              <a:round/>
            </a:ln>
            <a:effectLst/>
          </c:spPr>
          <c:marker>
            <c:symbol val="none"/>
          </c:marker>
          <c:cat>
            <c:numRef>
              <c:f>CSC!$C$33:$G$33</c:f>
              <c:numCache>
                <c:formatCode>General</c:formatCode>
                <c:ptCount val="5"/>
                <c:pt idx="0">
                  <c:v>2014</c:v>
                </c:pt>
                <c:pt idx="1">
                  <c:v>2015</c:v>
                </c:pt>
                <c:pt idx="2">
                  <c:v>2016</c:v>
                </c:pt>
                <c:pt idx="3">
                  <c:v>2017</c:v>
                </c:pt>
                <c:pt idx="4">
                  <c:v>2018</c:v>
                </c:pt>
              </c:numCache>
            </c:numRef>
          </c:cat>
          <c:val>
            <c:numRef>
              <c:f>CSC!$C$35:$G$35</c:f>
              <c:numCache>
                <c:formatCode>0.00</c:formatCode>
                <c:ptCount val="5"/>
                <c:pt idx="0">
                  <c:v>48.3</c:v>
                </c:pt>
                <c:pt idx="1">
                  <c:v>54.3</c:v>
                </c:pt>
                <c:pt idx="2">
                  <c:v>52.9</c:v>
                </c:pt>
                <c:pt idx="3">
                  <c:v>58.4</c:v>
                </c:pt>
                <c:pt idx="4">
                  <c:v>59.6</c:v>
                </c:pt>
              </c:numCache>
            </c:numRef>
          </c:val>
          <c:smooth val="0"/>
        </c:ser>
        <c:ser>
          <c:idx val="2"/>
          <c:order val="2"/>
          <c:tx>
            <c:strRef>
              <c:f>CSC!$A$36</c:f>
              <c:strCache>
                <c:ptCount val="1"/>
                <c:pt idx="0">
                  <c:v>England</c:v>
                </c:pt>
              </c:strCache>
            </c:strRef>
          </c:tx>
          <c:spPr>
            <a:ln w="28575" cap="rnd">
              <a:solidFill>
                <a:schemeClr val="accent3"/>
              </a:solidFill>
              <a:round/>
            </a:ln>
            <a:effectLst/>
          </c:spPr>
          <c:marker>
            <c:symbol val="none"/>
          </c:marker>
          <c:cat>
            <c:numRef>
              <c:f>CSC!$C$33:$G$33</c:f>
              <c:numCache>
                <c:formatCode>General</c:formatCode>
                <c:ptCount val="5"/>
                <c:pt idx="0">
                  <c:v>2014</c:v>
                </c:pt>
                <c:pt idx="1">
                  <c:v>2015</c:v>
                </c:pt>
                <c:pt idx="2">
                  <c:v>2016</c:v>
                </c:pt>
                <c:pt idx="3">
                  <c:v>2017</c:v>
                </c:pt>
                <c:pt idx="4">
                  <c:v>2018</c:v>
                </c:pt>
              </c:numCache>
            </c:numRef>
          </c:cat>
          <c:val>
            <c:numRef>
              <c:f>CSC!$C$36:$G$36</c:f>
              <c:numCache>
                <c:formatCode>0.00</c:formatCode>
                <c:ptCount val="5"/>
                <c:pt idx="0">
                  <c:v>56.800000000000004</c:v>
                </c:pt>
                <c:pt idx="1">
                  <c:v>61.6</c:v>
                </c:pt>
                <c:pt idx="2">
                  <c:v>62.6</c:v>
                </c:pt>
                <c:pt idx="3">
                  <c:v>65.3</c:v>
                </c:pt>
                <c:pt idx="4">
                  <c:v>67</c:v>
                </c:pt>
              </c:numCache>
            </c:numRef>
          </c:val>
          <c:smooth val="0"/>
        </c:ser>
        <c:dLbls>
          <c:showLegendKey val="0"/>
          <c:showVal val="0"/>
          <c:showCatName val="0"/>
          <c:showSerName val="0"/>
          <c:showPercent val="0"/>
          <c:showBubbleSize val="0"/>
        </c:dLbls>
        <c:smooth val="0"/>
        <c:axId val="632457944"/>
        <c:axId val="632454416"/>
      </c:lineChart>
      <c:catAx>
        <c:axId val="632457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32454416"/>
        <c:crosses val="autoZero"/>
        <c:auto val="1"/>
        <c:lblAlgn val="ctr"/>
        <c:lblOffset val="100"/>
        <c:noMultiLvlLbl val="0"/>
      </c:catAx>
      <c:valAx>
        <c:axId val="63245441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32457944"/>
        <c:crosses val="autoZero"/>
        <c:crossBetween val="between"/>
        <c:majorUnit val="20"/>
      </c:valAx>
      <c:spPr>
        <a:noFill/>
        <a:ln>
          <a:noFill/>
        </a:ln>
        <a:effectLst/>
      </c:spPr>
    </c:plotArea>
    <c:legend>
      <c:legendPos val="b"/>
      <c:layout>
        <c:manualLayout>
          <c:xMode val="edge"/>
          <c:yMode val="edge"/>
          <c:x val="0.18215492497400088"/>
          <c:y val="2.7555442312043765E-2"/>
          <c:w val="0.69960861684742237"/>
          <c:h val="9.899126651670353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pPr>
      <a:endParaRPr lang="en-US"/>
    </a:p>
  </c:txPr>
  <c:externalData r:id="rId3">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88648293963255"/>
          <c:y val="0.21296296296296297"/>
          <c:w val="0.82552393553264858"/>
          <c:h val="0.55408031248452438"/>
        </c:manualLayout>
      </c:layout>
      <c:lineChart>
        <c:grouping val="standard"/>
        <c:varyColors val="0"/>
        <c:ser>
          <c:idx val="0"/>
          <c:order val="0"/>
          <c:tx>
            <c:strRef>
              <c:f>CSC!$A$53</c:f>
              <c:strCache>
                <c:ptCount val="1"/>
                <c:pt idx="0">
                  <c:v>Croydon</c:v>
                </c:pt>
              </c:strCache>
            </c:strRef>
          </c:tx>
          <c:spPr>
            <a:ln w="28575" cap="rnd">
              <a:solidFill>
                <a:schemeClr val="accent1"/>
              </a:solidFill>
              <a:round/>
            </a:ln>
            <a:effectLst/>
          </c:spPr>
          <c:marker>
            <c:symbol val="none"/>
          </c:marker>
          <c:cat>
            <c:numRef>
              <c:f>CSC!$C$52:$G$52</c:f>
              <c:numCache>
                <c:formatCode>General</c:formatCode>
                <c:ptCount val="5"/>
                <c:pt idx="0">
                  <c:v>2014</c:v>
                </c:pt>
                <c:pt idx="1">
                  <c:v>2015</c:v>
                </c:pt>
                <c:pt idx="2">
                  <c:v>2016</c:v>
                </c:pt>
                <c:pt idx="3">
                  <c:v>2017</c:v>
                </c:pt>
                <c:pt idx="4">
                  <c:v>2018</c:v>
                </c:pt>
              </c:numCache>
            </c:numRef>
          </c:cat>
          <c:val>
            <c:numRef>
              <c:f>CSC!$C$53:$G$53</c:f>
              <c:numCache>
                <c:formatCode>0.00</c:formatCode>
                <c:ptCount val="5"/>
                <c:pt idx="0">
                  <c:v>41.2</c:v>
                </c:pt>
                <c:pt idx="1">
                  <c:v>37.5</c:v>
                </c:pt>
                <c:pt idx="2">
                  <c:v>38.6</c:v>
                </c:pt>
                <c:pt idx="3">
                  <c:v>37</c:v>
                </c:pt>
                <c:pt idx="4">
                  <c:v>59.9</c:v>
                </c:pt>
              </c:numCache>
            </c:numRef>
          </c:val>
          <c:smooth val="0"/>
        </c:ser>
        <c:ser>
          <c:idx val="1"/>
          <c:order val="1"/>
          <c:tx>
            <c:strRef>
              <c:f>CSC!$A$54</c:f>
              <c:strCache>
                <c:ptCount val="1"/>
                <c:pt idx="0">
                  <c:v>Outer London</c:v>
                </c:pt>
              </c:strCache>
            </c:strRef>
          </c:tx>
          <c:spPr>
            <a:ln w="28575" cap="rnd">
              <a:solidFill>
                <a:schemeClr val="accent2"/>
              </a:solidFill>
              <a:round/>
            </a:ln>
            <a:effectLst/>
          </c:spPr>
          <c:marker>
            <c:symbol val="none"/>
          </c:marker>
          <c:cat>
            <c:numRef>
              <c:f>CSC!$C$52:$G$52</c:f>
              <c:numCache>
                <c:formatCode>General</c:formatCode>
                <c:ptCount val="5"/>
                <c:pt idx="0">
                  <c:v>2014</c:v>
                </c:pt>
                <c:pt idx="1">
                  <c:v>2015</c:v>
                </c:pt>
                <c:pt idx="2">
                  <c:v>2016</c:v>
                </c:pt>
                <c:pt idx="3">
                  <c:v>2017</c:v>
                </c:pt>
                <c:pt idx="4">
                  <c:v>2018</c:v>
                </c:pt>
              </c:numCache>
            </c:numRef>
          </c:cat>
          <c:val>
            <c:numRef>
              <c:f>CSC!$C$54:$G$54</c:f>
              <c:numCache>
                <c:formatCode>0.00</c:formatCode>
                <c:ptCount val="5"/>
                <c:pt idx="0">
                  <c:v>35.1</c:v>
                </c:pt>
                <c:pt idx="1">
                  <c:v>38.299999999999997</c:v>
                </c:pt>
                <c:pt idx="2">
                  <c:v>36.200000000000003</c:v>
                </c:pt>
                <c:pt idx="3">
                  <c:v>36.700000000000003</c:v>
                </c:pt>
                <c:pt idx="4">
                  <c:v>37.299999999999997</c:v>
                </c:pt>
              </c:numCache>
            </c:numRef>
          </c:val>
          <c:smooth val="0"/>
        </c:ser>
        <c:ser>
          <c:idx val="2"/>
          <c:order val="2"/>
          <c:tx>
            <c:strRef>
              <c:f>CSC!$A$55</c:f>
              <c:strCache>
                <c:ptCount val="1"/>
                <c:pt idx="0">
                  <c:v>England</c:v>
                </c:pt>
              </c:strCache>
            </c:strRef>
          </c:tx>
          <c:spPr>
            <a:ln w="28575" cap="rnd">
              <a:solidFill>
                <a:schemeClr val="accent3"/>
              </a:solidFill>
              <a:round/>
            </a:ln>
            <a:effectLst/>
          </c:spPr>
          <c:marker>
            <c:symbol val="none"/>
          </c:marker>
          <c:cat>
            <c:numRef>
              <c:f>CSC!$C$52:$G$52</c:f>
              <c:numCache>
                <c:formatCode>General</c:formatCode>
                <c:ptCount val="5"/>
                <c:pt idx="0">
                  <c:v>2014</c:v>
                </c:pt>
                <c:pt idx="1">
                  <c:v>2015</c:v>
                </c:pt>
                <c:pt idx="2">
                  <c:v>2016</c:v>
                </c:pt>
                <c:pt idx="3">
                  <c:v>2017</c:v>
                </c:pt>
                <c:pt idx="4">
                  <c:v>2018</c:v>
                </c:pt>
              </c:numCache>
            </c:numRef>
          </c:cat>
          <c:val>
            <c:numRef>
              <c:f>CSC!$C$55:$G$55</c:f>
              <c:numCache>
                <c:formatCode>0.00</c:formatCode>
                <c:ptCount val="5"/>
                <c:pt idx="0">
                  <c:v>42.1</c:v>
                </c:pt>
                <c:pt idx="1">
                  <c:v>42.900000000000006</c:v>
                </c:pt>
                <c:pt idx="2">
                  <c:v>43.1</c:v>
                </c:pt>
                <c:pt idx="3">
                  <c:v>43.300000000000004</c:v>
                </c:pt>
                <c:pt idx="4">
                  <c:v>43.3</c:v>
                </c:pt>
              </c:numCache>
            </c:numRef>
          </c:val>
          <c:smooth val="0"/>
        </c:ser>
        <c:dLbls>
          <c:showLegendKey val="0"/>
          <c:showVal val="0"/>
          <c:showCatName val="0"/>
          <c:showSerName val="0"/>
          <c:showPercent val="0"/>
          <c:showBubbleSize val="0"/>
        </c:dLbls>
        <c:smooth val="0"/>
        <c:axId val="632452848"/>
        <c:axId val="632452456"/>
      </c:lineChart>
      <c:catAx>
        <c:axId val="632452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32452456"/>
        <c:crosses val="autoZero"/>
        <c:auto val="1"/>
        <c:lblAlgn val="ctr"/>
        <c:lblOffset val="100"/>
        <c:noMultiLvlLbl val="0"/>
      </c:catAx>
      <c:valAx>
        <c:axId val="632452456"/>
        <c:scaling>
          <c:orientation val="minMax"/>
          <c:max val="6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32452848"/>
        <c:crosses val="autoZero"/>
        <c:crossBetween val="between"/>
        <c:majorUnit val="10"/>
      </c:valAx>
      <c:spPr>
        <a:noFill/>
        <a:ln>
          <a:noFill/>
        </a:ln>
        <a:effectLst/>
      </c:spPr>
    </c:plotArea>
    <c:legend>
      <c:legendPos val="b"/>
      <c:layout>
        <c:manualLayout>
          <c:xMode val="edge"/>
          <c:yMode val="edge"/>
          <c:x val="0.21536247214381221"/>
          <c:y val="4.6874583347618549E-2"/>
          <c:w val="0.67847654137572422"/>
          <c:h val="9.4169723704711092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47666617144555"/>
          <c:y val="0.19370531269798172"/>
          <c:w val="0.84974642697964642"/>
          <c:h val="0.69055076971177975"/>
        </c:manualLayout>
      </c:layout>
      <c:barChart>
        <c:barDir val="col"/>
        <c:grouping val="clustered"/>
        <c:varyColors val="0"/>
        <c:ser>
          <c:idx val="0"/>
          <c:order val="0"/>
          <c:tx>
            <c:strRef>
              <c:f>Ch_EY!$A$4</c:f>
              <c:strCache>
                <c:ptCount val="1"/>
                <c:pt idx="0">
                  <c:v>Croydon</c:v>
                </c:pt>
              </c:strCache>
            </c:strRef>
          </c:tx>
          <c:spPr>
            <a:solidFill>
              <a:srgbClr val="0070C0"/>
            </a:solidFill>
            <a:ln>
              <a:solidFill>
                <a:srgbClr val="0070C0"/>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Ch_EY!$B$3:$F$3</c:f>
              <c:numCache>
                <c:formatCode>0</c:formatCode>
                <c:ptCount val="5"/>
                <c:pt idx="0">
                  <c:v>2014</c:v>
                </c:pt>
                <c:pt idx="1">
                  <c:v>2015</c:v>
                </c:pt>
                <c:pt idx="2">
                  <c:v>2016</c:v>
                </c:pt>
                <c:pt idx="3">
                  <c:v>2017</c:v>
                </c:pt>
                <c:pt idx="4">
                  <c:v>2018</c:v>
                </c:pt>
              </c:numCache>
            </c:numRef>
          </c:cat>
          <c:val>
            <c:numRef>
              <c:f>Ch_EY!$B$4:$F$4</c:f>
              <c:numCache>
                <c:formatCode>General</c:formatCode>
                <c:ptCount val="5"/>
                <c:pt idx="0">
                  <c:v>85</c:v>
                </c:pt>
                <c:pt idx="1">
                  <c:v>87</c:v>
                </c:pt>
                <c:pt idx="2">
                  <c:v>87</c:v>
                </c:pt>
                <c:pt idx="3">
                  <c:v>87</c:v>
                </c:pt>
                <c:pt idx="4">
                  <c:v>83</c:v>
                </c:pt>
              </c:numCache>
            </c:numRef>
          </c:val>
        </c:ser>
        <c:ser>
          <c:idx val="1"/>
          <c:order val="1"/>
          <c:tx>
            <c:strRef>
              <c:f>Ch_EY!$A$5</c:f>
              <c:strCache>
                <c:ptCount val="1"/>
                <c:pt idx="0">
                  <c:v>Outer London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Ch_EY!$B$3:$F$3</c:f>
              <c:numCache>
                <c:formatCode>0</c:formatCode>
                <c:ptCount val="5"/>
                <c:pt idx="0">
                  <c:v>2014</c:v>
                </c:pt>
                <c:pt idx="1">
                  <c:v>2015</c:v>
                </c:pt>
                <c:pt idx="2">
                  <c:v>2016</c:v>
                </c:pt>
                <c:pt idx="3">
                  <c:v>2017</c:v>
                </c:pt>
                <c:pt idx="4">
                  <c:v>2018</c:v>
                </c:pt>
              </c:numCache>
            </c:numRef>
          </c:cat>
          <c:val>
            <c:numRef>
              <c:f>Ch_EY!$B$5:$F$5</c:f>
              <c:numCache>
                <c:formatCode>General</c:formatCode>
                <c:ptCount val="5"/>
                <c:pt idx="0">
                  <c:v>91</c:v>
                </c:pt>
                <c:pt idx="1">
                  <c:v>90</c:v>
                </c:pt>
                <c:pt idx="2">
                  <c:v>88</c:v>
                </c:pt>
                <c:pt idx="3">
                  <c:v>87</c:v>
                </c:pt>
                <c:pt idx="4">
                  <c:v>87</c:v>
                </c:pt>
              </c:numCache>
            </c:numRef>
          </c:val>
        </c:ser>
        <c:ser>
          <c:idx val="2"/>
          <c:order val="2"/>
          <c:tx>
            <c:strRef>
              <c:f>Ch_EY!$A$6</c:f>
              <c:strCache>
                <c:ptCount val="1"/>
                <c:pt idx="0">
                  <c:v>England</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Ch_EY!$B$3:$F$3</c:f>
              <c:numCache>
                <c:formatCode>0</c:formatCode>
                <c:ptCount val="5"/>
                <c:pt idx="0">
                  <c:v>2014</c:v>
                </c:pt>
                <c:pt idx="1">
                  <c:v>2015</c:v>
                </c:pt>
                <c:pt idx="2">
                  <c:v>2016</c:v>
                </c:pt>
                <c:pt idx="3">
                  <c:v>2017</c:v>
                </c:pt>
                <c:pt idx="4">
                  <c:v>2018</c:v>
                </c:pt>
              </c:numCache>
            </c:numRef>
          </c:cat>
          <c:val>
            <c:numRef>
              <c:f>Ch_EY!$B$6:$F$6</c:f>
              <c:numCache>
                <c:formatCode>General</c:formatCode>
                <c:ptCount val="5"/>
                <c:pt idx="0">
                  <c:v>95</c:v>
                </c:pt>
                <c:pt idx="1">
                  <c:v>95</c:v>
                </c:pt>
                <c:pt idx="2">
                  <c:v>95</c:v>
                </c:pt>
                <c:pt idx="3">
                  <c:v>94</c:v>
                </c:pt>
                <c:pt idx="4">
                  <c:v>94</c:v>
                </c:pt>
              </c:numCache>
            </c:numRef>
          </c:val>
        </c:ser>
        <c:dLbls>
          <c:showLegendKey val="0"/>
          <c:showVal val="0"/>
          <c:showCatName val="0"/>
          <c:showSerName val="0"/>
          <c:showPercent val="0"/>
          <c:showBubbleSize val="0"/>
        </c:dLbls>
        <c:gapWidth val="96"/>
        <c:overlap val="6"/>
        <c:axId val="430361448"/>
        <c:axId val="430360272"/>
      </c:barChart>
      <c:catAx>
        <c:axId val="430361448"/>
        <c:scaling>
          <c:orientation val="minMax"/>
        </c:scaling>
        <c:delete val="0"/>
        <c:axPos val="b"/>
        <c:numFmt formatCode="0" sourceLinked="1"/>
        <c:majorTickMark val="none"/>
        <c:minorTickMark val="none"/>
        <c:tickLblPos val="nextTo"/>
        <c:spPr>
          <a:noFill/>
          <a:ln w="9525" cap="flat" cmpd="sng" algn="ctr">
            <a:solidFill>
              <a:sysClr val="windowText" lastClr="000000"/>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30360272"/>
        <c:crosses val="autoZero"/>
        <c:auto val="1"/>
        <c:lblAlgn val="ctr"/>
        <c:lblOffset val="100"/>
        <c:noMultiLvlLbl val="0"/>
      </c:catAx>
      <c:valAx>
        <c:axId val="430360272"/>
        <c:scaling>
          <c:orientation val="minMax"/>
          <c:max val="1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30361448"/>
        <c:crosses val="autoZero"/>
        <c:crossBetween val="between"/>
      </c:valAx>
      <c:spPr>
        <a:noFill/>
        <a:ln>
          <a:noFill/>
        </a:ln>
        <a:effectLst/>
      </c:spPr>
    </c:plotArea>
    <c:legend>
      <c:legendPos val="b"/>
      <c:layout>
        <c:manualLayout>
          <c:xMode val="edge"/>
          <c:yMode val="edge"/>
          <c:x val="0.20797337691279152"/>
          <c:y val="3.1221665473633978E-2"/>
          <c:w val="0.73247267865101773"/>
          <c:h val="8.011598300835838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showDLblsOverMax val="0"/>
  </c:chart>
  <c:spPr>
    <a:noFill/>
    <a:ln w="6350" cap="flat" cmpd="sng" algn="ctr">
      <a:solidFill>
        <a:sysClr val="windowText" lastClr="000000"/>
      </a:solidFill>
      <a:round/>
    </a:ln>
    <a:effectLst/>
  </c:spPr>
  <c:txPr>
    <a:bodyPr/>
    <a:lstStyle/>
    <a:p>
      <a:pPr>
        <a:defRPr sz="1200">
          <a:latin typeface="Arial" panose="020B0604020202020204" pitchFamily="34" charset="0"/>
          <a:cs typeface="Arial" panose="020B0604020202020204" pitchFamily="34" charset="0"/>
        </a:defRPr>
      </a:pPr>
      <a:endParaRPr lang="en-US"/>
    </a:p>
  </c:txPr>
  <c:externalData r:id="rId4">
    <c:autoUpdate val="0"/>
  </c:externalData>
  <c:userShapes r:id="rId5"/>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5009275673001662E-3"/>
          <c:y val="5.2131179988989987E-2"/>
          <c:w val="0.51043736515919802"/>
          <c:h val="0.91328840042535664"/>
        </c:manualLayout>
      </c:layout>
      <c:pieChart>
        <c:varyColors val="1"/>
        <c:ser>
          <c:idx val="0"/>
          <c:order val="0"/>
          <c:tx>
            <c:strRef>
              <c:f>CSC!$L$78</c:f>
              <c:strCache>
                <c:ptCount val="1"/>
                <c:pt idx="0">
                  <c:v>2016/2017</c:v>
                </c:pt>
              </c:strCache>
            </c:strRef>
          </c:tx>
          <c:dPt>
            <c:idx val="0"/>
            <c:bubble3D val="0"/>
            <c:spPr>
              <a:solidFill>
                <a:schemeClr val="accent1"/>
              </a:solidFill>
              <a:ln w="19050">
                <a:solidFill>
                  <a:schemeClr val="lt1"/>
                </a:solidFill>
              </a:ln>
              <a:effectLst/>
            </c:spPr>
          </c:dPt>
          <c:dPt>
            <c:idx val="1"/>
            <c:bubble3D val="0"/>
            <c:spPr>
              <a:solidFill>
                <a:schemeClr val="accent2"/>
              </a:solidFill>
              <a:ln w="19050">
                <a:solidFill>
                  <a:schemeClr val="lt1"/>
                </a:solidFill>
              </a:ln>
              <a:effectLst/>
            </c:spPr>
          </c:dPt>
          <c:dPt>
            <c:idx val="2"/>
            <c:bubble3D val="0"/>
            <c:spPr>
              <a:solidFill>
                <a:schemeClr val="accent3"/>
              </a:solidFill>
              <a:ln w="19050">
                <a:solidFill>
                  <a:schemeClr val="lt1"/>
                </a:solidFill>
              </a:ln>
              <a:effectLst/>
            </c:spPr>
          </c:dPt>
          <c:dPt>
            <c:idx val="3"/>
            <c:bubble3D val="0"/>
            <c:spPr>
              <a:solidFill>
                <a:schemeClr val="accent4"/>
              </a:solidFill>
              <a:ln w="19050">
                <a:solidFill>
                  <a:schemeClr val="lt1"/>
                </a:solidFill>
              </a:ln>
              <a:effectLst/>
            </c:spPr>
          </c:dPt>
          <c:dPt>
            <c:idx val="4"/>
            <c:bubble3D val="0"/>
            <c:spPr>
              <a:solidFill>
                <a:schemeClr val="accent5"/>
              </a:solidFill>
              <a:ln w="19050">
                <a:solidFill>
                  <a:schemeClr val="lt1"/>
                </a:solidFill>
              </a:ln>
              <a:effectLst/>
            </c:spPr>
          </c:dPt>
          <c:dLbls>
            <c:spPr>
              <a:noFill/>
              <a:ln>
                <a:noFill/>
              </a:ln>
              <a:effectLst/>
            </c:spPr>
            <c:txPr>
              <a:bodyPr rot="0" spcFirstLastPara="1" vertOverflow="ellipsis" vert="horz" wrap="square" anchor="ctr" anchorCtr="1"/>
              <a:lstStyle/>
              <a:p>
                <a:pPr>
                  <a:defRPr sz="1200" b="1"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CSC!$K$79:$K$83</c:f>
              <c:strCache>
                <c:ptCount val="5"/>
                <c:pt idx="0">
                  <c:v>Neglect</c:v>
                </c:pt>
                <c:pt idx="1">
                  <c:v>Physical Abuse</c:v>
                </c:pt>
                <c:pt idx="2">
                  <c:v>Sexual Abuse</c:v>
                </c:pt>
                <c:pt idx="3">
                  <c:v>Emotional Abuse</c:v>
                </c:pt>
                <c:pt idx="4">
                  <c:v>Multiple (inc. Physical and Sexual)</c:v>
                </c:pt>
              </c:strCache>
            </c:strRef>
          </c:cat>
          <c:val>
            <c:numRef>
              <c:f>CSC!$L$79:$L$83</c:f>
              <c:numCache>
                <c:formatCode>0.0%</c:formatCode>
                <c:ptCount val="5"/>
                <c:pt idx="0">
                  <c:v>0.14357682619647355</c:v>
                </c:pt>
                <c:pt idx="1">
                  <c:v>4.7858942065491183E-2</c:v>
                </c:pt>
                <c:pt idx="2">
                  <c:v>1.5113350125944584E-2</c:v>
                </c:pt>
                <c:pt idx="3">
                  <c:v>0.25944584382871538</c:v>
                </c:pt>
                <c:pt idx="4">
                  <c:v>0.41309823677581864</c:v>
                </c:pt>
              </c:numCache>
            </c:numRef>
          </c:val>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68045375218150095"/>
          <c:y val="0.10604870384917518"/>
          <c:w val="0.29554973821989533"/>
          <c:h val="0.7957580518460329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400"/>
      </a:pPr>
      <a:endParaRPr lang="en-US"/>
    </a:p>
  </c:txPr>
  <c:externalData r:id="rId3">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892281757463244"/>
          <c:y val="2.2111592934941103E-2"/>
          <c:w val="0.85566566374325159"/>
          <c:h val="0.64021548936817685"/>
        </c:manualLayout>
      </c:layout>
      <c:barChart>
        <c:barDir val="col"/>
        <c:grouping val="clustered"/>
        <c:varyColors val="0"/>
        <c:ser>
          <c:idx val="4"/>
          <c:order val="4"/>
          <c:tx>
            <c:strRef>
              <c:f>LAC!$H$3</c:f>
              <c:strCache>
                <c:ptCount val="1"/>
                <c:pt idx="0">
                  <c:v>2017 (Provisional only)</c:v>
                </c:pt>
              </c:strCache>
            </c:strRef>
          </c:tx>
          <c:spPr>
            <a:solidFill>
              <a:schemeClr val="tx2">
                <a:lumMod val="60000"/>
                <a:lumOff val="40000"/>
              </a:schemeClr>
            </a:solidFill>
            <a:ln>
              <a:noFill/>
            </a:ln>
            <a:effectLst/>
          </c:spPr>
          <c:invertIfNegative val="0"/>
          <c:dPt>
            <c:idx val="32"/>
            <c:invertIfNegative val="0"/>
            <c:bubble3D val="0"/>
            <c:spPr>
              <a:solidFill>
                <a:srgbClr val="7030A0"/>
              </a:solidFill>
              <a:ln>
                <a:noFill/>
              </a:ln>
              <a:effectLst/>
            </c:spPr>
          </c:dPt>
          <c:dLbls>
            <c:spPr>
              <a:noFill/>
              <a:ln>
                <a:noFill/>
              </a:ln>
              <a:effectLst/>
            </c:spPr>
            <c:txPr>
              <a:bodyPr rot="-5400000" spcFirstLastPara="1" vertOverflow="ellipsis"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LAC!$C$4:$C$36</c:f>
              <c:strCache>
                <c:ptCount val="33"/>
                <c:pt idx="0">
                  <c:v>City Of London</c:v>
                </c:pt>
                <c:pt idx="1">
                  <c:v>Kensington and Chelsea</c:v>
                </c:pt>
                <c:pt idx="2">
                  <c:v>Kingston Upon Thames</c:v>
                </c:pt>
                <c:pt idx="3">
                  <c:v>Richmond Upon Thames</c:v>
                </c:pt>
                <c:pt idx="4">
                  <c:v>Merton</c:v>
                </c:pt>
                <c:pt idx="5">
                  <c:v>Westminster</c:v>
                </c:pt>
                <c:pt idx="6">
                  <c:v>Harrow</c:v>
                </c:pt>
                <c:pt idx="7">
                  <c:v>Camden</c:v>
                </c:pt>
                <c:pt idx="8">
                  <c:v>Hammersmith and Fulham</c:v>
                </c:pt>
                <c:pt idx="9">
                  <c:v>Redbridge</c:v>
                </c:pt>
                <c:pt idx="10">
                  <c:v>Havering</c:v>
                </c:pt>
                <c:pt idx="11">
                  <c:v>Sutton</c:v>
                </c:pt>
                <c:pt idx="12">
                  <c:v>Wandsworth</c:v>
                </c:pt>
                <c:pt idx="13">
                  <c:v>Bexley</c:v>
                </c:pt>
                <c:pt idx="14">
                  <c:v>Hounslow</c:v>
                </c:pt>
                <c:pt idx="15">
                  <c:v>Waltham Forest</c:v>
                </c:pt>
                <c:pt idx="16">
                  <c:v>Bromley</c:v>
                </c:pt>
                <c:pt idx="17">
                  <c:v>Tower Hamlets</c:v>
                </c:pt>
                <c:pt idx="18">
                  <c:v>Barnet</c:v>
                </c:pt>
                <c:pt idx="19">
                  <c:v>Hackney</c:v>
                </c:pt>
                <c:pt idx="20">
                  <c:v>Brent</c:v>
                </c:pt>
                <c:pt idx="21">
                  <c:v>Hillingdon</c:v>
                </c:pt>
                <c:pt idx="22">
                  <c:v>Newham</c:v>
                </c:pt>
                <c:pt idx="23">
                  <c:v>Islington</c:v>
                </c:pt>
                <c:pt idx="24">
                  <c:v>Enfield</c:v>
                </c:pt>
                <c:pt idx="25">
                  <c:v>Ealing</c:v>
                </c:pt>
                <c:pt idx="26">
                  <c:v>Haringey</c:v>
                </c:pt>
                <c:pt idx="27">
                  <c:v>Barking and Dagenham</c:v>
                </c:pt>
                <c:pt idx="28">
                  <c:v>Lambeth</c:v>
                </c:pt>
                <c:pt idx="29">
                  <c:v>Lewisham</c:v>
                </c:pt>
                <c:pt idx="30">
                  <c:v>Southwark</c:v>
                </c:pt>
                <c:pt idx="31">
                  <c:v>Greenwich</c:v>
                </c:pt>
                <c:pt idx="32">
                  <c:v>Croydon</c:v>
                </c:pt>
              </c:strCache>
            </c:strRef>
          </c:cat>
          <c:val>
            <c:numRef>
              <c:f>LAC!$H$4:$H$36</c:f>
              <c:numCache>
                <c:formatCode>#,##0</c:formatCode>
                <c:ptCount val="33"/>
                <c:pt idx="0">
                  <c:v>10</c:v>
                </c:pt>
                <c:pt idx="1">
                  <c:v>80</c:v>
                </c:pt>
                <c:pt idx="2">
                  <c:v>115</c:v>
                </c:pt>
                <c:pt idx="3">
                  <c:v>105</c:v>
                </c:pt>
                <c:pt idx="4">
                  <c:v>150</c:v>
                </c:pt>
                <c:pt idx="5">
                  <c:v>180</c:v>
                </c:pt>
                <c:pt idx="6">
                  <c:v>205</c:v>
                </c:pt>
                <c:pt idx="7">
                  <c:v>200</c:v>
                </c:pt>
                <c:pt idx="8">
                  <c:v>215</c:v>
                </c:pt>
                <c:pt idx="9">
                  <c:v>230</c:v>
                </c:pt>
                <c:pt idx="10">
                  <c:v>245</c:v>
                </c:pt>
                <c:pt idx="11">
                  <c:v>230</c:v>
                </c:pt>
                <c:pt idx="12">
                  <c:v>290</c:v>
                </c:pt>
                <c:pt idx="13">
                  <c:v>240</c:v>
                </c:pt>
                <c:pt idx="14">
                  <c:v>250</c:v>
                </c:pt>
                <c:pt idx="15">
                  <c:v>280</c:v>
                </c:pt>
                <c:pt idx="16">
                  <c:v>290</c:v>
                </c:pt>
                <c:pt idx="17">
                  <c:v>335</c:v>
                </c:pt>
                <c:pt idx="18">
                  <c:v>345</c:v>
                </c:pt>
                <c:pt idx="19">
                  <c:v>370</c:v>
                </c:pt>
                <c:pt idx="20">
                  <c:v>320</c:v>
                </c:pt>
                <c:pt idx="21">
                  <c:v>310</c:v>
                </c:pt>
                <c:pt idx="22">
                  <c:v>395</c:v>
                </c:pt>
                <c:pt idx="23">
                  <c:v>340</c:v>
                </c:pt>
                <c:pt idx="24">
                  <c:v>325</c:v>
                </c:pt>
                <c:pt idx="25">
                  <c:v>345</c:v>
                </c:pt>
                <c:pt idx="26">
                  <c:v>445</c:v>
                </c:pt>
                <c:pt idx="27">
                  <c:v>410</c:v>
                </c:pt>
                <c:pt idx="28">
                  <c:v>415</c:v>
                </c:pt>
                <c:pt idx="29">
                  <c:v>455</c:v>
                </c:pt>
                <c:pt idx="30">
                  <c:v>500</c:v>
                </c:pt>
                <c:pt idx="31">
                  <c:v>495</c:v>
                </c:pt>
                <c:pt idx="32">
                  <c:v>785</c:v>
                </c:pt>
              </c:numCache>
            </c:numRef>
          </c:val>
        </c:ser>
        <c:dLbls>
          <c:showLegendKey val="0"/>
          <c:showVal val="0"/>
          <c:showCatName val="0"/>
          <c:showSerName val="0"/>
          <c:showPercent val="0"/>
          <c:showBubbleSize val="0"/>
        </c:dLbls>
        <c:gapWidth val="39"/>
        <c:overlap val="-29"/>
        <c:axId val="632453632"/>
        <c:axId val="632454808"/>
        <c:extLst>
          <c:ext xmlns:c15="http://schemas.microsoft.com/office/drawing/2012/chart" uri="{02D57815-91ED-43cb-92C2-25804820EDAC}">
            <c15:filteredBarSeries>
              <c15:ser>
                <c:idx val="0"/>
                <c:order val="0"/>
                <c:tx>
                  <c:strRef>
                    <c:extLst>
                      <c:ext uri="{02D57815-91ED-43cb-92C2-25804820EDAC}">
                        <c15:formulaRef>
                          <c15:sqref>LAC!$D$3</c15:sqref>
                        </c15:formulaRef>
                      </c:ext>
                    </c:extLst>
                    <c:strCache>
                      <c:ptCount val="1"/>
                      <c:pt idx="0">
                        <c:v>2013</c:v>
                      </c:pt>
                    </c:strCache>
                  </c:strRef>
                </c:tx>
                <c:spPr>
                  <a:solidFill>
                    <a:schemeClr val="accent1"/>
                  </a:solidFill>
                  <a:ln>
                    <a:noFill/>
                  </a:ln>
                  <a:effectLst/>
                </c:spPr>
                <c:invertIfNegative val="0"/>
                <c:cat>
                  <c:strRef>
                    <c:extLst>
                      <c:ext uri="{02D57815-91ED-43cb-92C2-25804820EDAC}">
                        <c15:formulaRef>
                          <c15:sqref>LAC!$C$4:$C$36</c15:sqref>
                        </c15:formulaRef>
                      </c:ext>
                    </c:extLst>
                    <c:strCache>
                      <c:ptCount val="33"/>
                      <c:pt idx="0">
                        <c:v>City Of London</c:v>
                      </c:pt>
                      <c:pt idx="1">
                        <c:v>Kensington and Chelsea</c:v>
                      </c:pt>
                      <c:pt idx="2">
                        <c:v>Kingston Upon Thames</c:v>
                      </c:pt>
                      <c:pt idx="3">
                        <c:v>Richmond Upon Thames</c:v>
                      </c:pt>
                      <c:pt idx="4">
                        <c:v>Merton</c:v>
                      </c:pt>
                      <c:pt idx="5">
                        <c:v>Westminster</c:v>
                      </c:pt>
                      <c:pt idx="6">
                        <c:v>Harrow</c:v>
                      </c:pt>
                      <c:pt idx="7">
                        <c:v>Camden</c:v>
                      </c:pt>
                      <c:pt idx="8">
                        <c:v>Hammersmith and Fulham</c:v>
                      </c:pt>
                      <c:pt idx="9">
                        <c:v>Redbridge</c:v>
                      </c:pt>
                      <c:pt idx="10">
                        <c:v>Havering</c:v>
                      </c:pt>
                      <c:pt idx="11">
                        <c:v>Sutton</c:v>
                      </c:pt>
                      <c:pt idx="12">
                        <c:v>Wandsworth</c:v>
                      </c:pt>
                      <c:pt idx="13">
                        <c:v>Bexley</c:v>
                      </c:pt>
                      <c:pt idx="14">
                        <c:v>Hounslow</c:v>
                      </c:pt>
                      <c:pt idx="15">
                        <c:v>Waltham Forest</c:v>
                      </c:pt>
                      <c:pt idx="16">
                        <c:v>Bromley</c:v>
                      </c:pt>
                      <c:pt idx="17">
                        <c:v>Tower Hamlets</c:v>
                      </c:pt>
                      <c:pt idx="18">
                        <c:v>Barnet</c:v>
                      </c:pt>
                      <c:pt idx="19">
                        <c:v>Hackney</c:v>
                      </c:pt>
                      <c:pt idx="20">
                        <c:v>Brent</c:v>
                      </c:pt>
                      <c:pt idx="21">
                        <c:v>Hillingdon</c:v>
                      </c:pt>
                      <c:pt idx="22">
                        <c:v>Newham</c:v>
                      </c:pt>
                      <c:pt idx="23">
                        <c:v>Islington</c:v>
                      </c:pt>
                      <c:pt idx="24">
                        <c:v>Enfield</c:v>
                      </c:pt>
                      <c:pt idx="25">
                        <c:v>Ealing</c:v>
                      </c:pt>
                      <c:pt idx="26">
                        <c:v>Haringey</c:v>
                      </c:pt>
                      <c:pt idx="27">
                        <c:v>Barking and Dagenham</c:v>
                      </c:pt>
                      <c:pt idx="28">
                        <c:v>Lambeth</c:v>
                      </c:pt>
                      <c:pt idx="29">
                        <c:v>Lewisham</c:v>
                      </c:pt>
                      <c:pt idx="30">
                        <c:v>Southwark</c:v>
                      </c:pt>
                      <c:pt idx="31">
                        <c:v>Greenwich</c:v>
                      </c:pt>
                      <c:pt idx="32">
                        <c:v>Croydon</c:v>
                      </c:pt>
                    </c:strCache>
                  </c:strRef>
                </c:cat>
                <c:val>
                  <c:numRef>
                    <c:extLst>
                      <c:ext uri="{02D57815-91ED-43cb-92C2-25804820EDAC}">
                        <c15:formulaRef>
                          <c15:sqref>LAC!$D$4:$D$36</c15:sqref>
                        </c15:formulaRef>
                      </c:ext>
                    </c:extLst>
                    <c:numCache>
                      <c:formatCode>#,##0</c:formatCode>
                      <c:ptCount val="33"/>
                      <c:pt idx="0">
                        <c:v>5</c:v>
                      </c:pt>
                      <c:pt idx="1">
                        <c:v>100</c:v>
                      </c:pt>
                      <c:pt idx="2">
                        <c:v>130</c:v>
                      </c:pt>
                      <c:pt idx="3">
                        <c:v>85</c:v>
                      </c:pt>
                      <c:pt idx="4">
                        <c:v>140</c:v>
                      </c:pt>
                      <c:pt idx="5">
                        <c:v>190</c:v>
                      </c:pt>
                      <c:pt idx="6">
                        <c:v>170</c:v>
                      </c:pt>
                      <c:pt idx="7">
                        <c:v>265</c:v>
                      </c:pt>
                      <c:pt idx="8">
                        <c:v>235</c:v>
                      </c:pt>
                      <c:pt idx="9">
                        <c:v>205</c:v>
                      </c:pt>
                      <c:pt idx="10">
                        <c:v>185</c:v>
                      </c:pt>
                      <c:pt idx="11">
                        <c:v>170</c:v>
                      </c:pt>
                      <c:pt idx="12">
                        <c:v>210</c:v>
                      </c:pt>
                      <c:pt idx="13">
                        <c:v>255</c:v>
                      </c:pt>
                      <c:pt idx="14">
                        <c:v>300</c:v>
                      </c:pt>
                      <c:pt idx="15">
                        <c:v>275</c:v>
                      </c:pt>
                      <c:pt idx="16">
                        <c:v>285</c:v>
                      </c:pt>
                      <c:pt idx="17">
                        <c:v>305</c:v>
                      </c:pt>
                      <c:pt idx="18">
                        <c:v>305</c:v>
                      </c:pt>
                      <c:pt idx="19">
                        <c:v>320</c:v>
                      </c:pt>
                      <c:pt idx="20">
                        <c:v>345</c:v>
                      </c:pt>
                      <c:pt idx="21">
                        <c:v>360</c:v>
                      </c:pt>
                      <c:pt idx="22">
                        <c:v>410</c:v>
                      </c:pt>
                      <c:pt idx="23">
                        <c:v>310</c:v>
                      </c:pt>
                      <c:pt idx="24">
                        <c:v>300</c:v>
                      </c:pt>
                      <c:pt idx="25">
                        <c:v>400</c:v>
                      </c:pt>
                      <c:pt idx="26">
                        <c:v>540</c:v>
                      </c:pt>
                      <c:pt idx="27">
                        <c:v>415</c:v>
                      </c:pt>
                      <c:pt idx="28">
                        <c:v>500</c:v>
                      </c:pt>
                      <c:pt idx="29">
                        <c:v>495</c:v>
                      </c:pt>
                      <c:pt idx="30">
                        <c:v>560</c:v>
                      </c:pt>
                      <c:pt idx="31">
                        <c:v>575</c:v>
                      </c:pt>
                      <c:pt idx="32">
                        <c:v>730</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LAC!$E$3</c15:sqref>
                        </c15:formulaRef>
                      </c:ext>
                    </c:extLst>
                    <c:strCache>
                      <c:ptCount val="1"/>
                      <c:pt idx="0">
                        <c:v>2014</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LAC!$C$4:$C$36</c15:sqref>
                        </c15:formulaRef>
                      </c:ext>
                    </c:extLst>
                    <c:strCache>
                      <c:ptCount val="33"/>
                      <c:pt idx="0">
                        <c:v>City Of London</c:v>
                      </c:pt>
                      <c:pt idx="1">
                        <c:v>Kensington and Chelsea</c:v>
                      </c:pt>
                      <c:pt idx="2">
                        <c:v>Kingston Upon Thames</c:v>
                      </c:pt>
                      <c:pt idx="3">
                        <c:v>Richmond Upon Thames</c:v>
                      </c:pt>
                      <c:pt idx="4">
                        <c:v>Merton</c:v>
                      </c:pt>
                      <c:pt idx="5">
                        <c:v>Westminster</c:v>
                      </c:pt>
                      <c:pt idx="6">
                        <c:v>Harrow</c:v>
                      </c:pt>
                      <c:pt idx="7">
                        <c:v>Camden</c:v>
                      </c:pt>
                      <c:pt idx="8">
                        <c:v>Hammersmith and Fulham</c:v>
                      </c:pt>
                      <c:pt idx="9">
                        <c:v>Redbridge</c:v>
                      </c:pt>
                      <c:pt idx="10">
                        <c:v>Havering</c:v>
                      </c:pt>
                      <c:pt idx="11">
                        <c:v>Sutton</c:v>
                      </c:pt>
                      <c:pt idx="12">
                        <c:v>Wandsworth</c:v>
                      </c:pt>
                      <c:pt idx="13">
                        <c:v>Bexley</c:v>
                      </c:pt>
                      <c:pt idx="14">
                        <c:v>Hounslow</c:v>
                      </c:pt>
                      <c:pt idx="15">
                        <c:v>Waltham Forest</c:v>
                      </c:pt>
                      <c:pt idx="16">
                        <c:v>Bromley</c:v>
                      </c:pt>
                      <c:pt idx="17">
                        <c:v>Tower Hamlets</c:v>
                      </c:pt>
                      <c:pt idx="18">
                        <c:v>Barnet</c:v>
                      </c:pt>
                      <c:pt idx="19">
                        <c:v>Hackney</c:v>
                      </c:pt>
                      <c:pt idx="20">
                        <c:v>Brent</c:v>
                      </c:pt>
                      <c:pt idx="21">
                        <c:v>Hillingdon</c:v>
                      </c:pt>
                      <c:pt idx="22">
                        <c:v>Newham</c:v>
                      </c:pt>
                      <c:pt idx="23">
                        <c:v>Islington</c:v>
                      </c:pt>
                      <c:pt idx="24">
                        <c:v>Enfield</c:v>
                      </c:pt>
                      <c:pt idx="25">
                        <c:v>Ealing</c:v>
                      </c:pt>
                      <c:pt idx="26">
                        <c:v>Haringey</c:v>
                      </c:pt>
                      <c:pt idx="27">
                        <c:v>Barking and Dagenham</c:v>
                      </c:pt>
                      <c:pt idx="28">
                        <c:v>Lambeth</c:v>
                      </c:pt>
                      <c:pt idx="29">
                        <c:v>Lewisham</c:v>
                      </c:pt>
                      <c:pt idx="30">
                        <c:v>Southwark</c:v>
                      </c:pt>
                      <c:pt idx="31">
                        <c:v>Greenwich</c:v>
                      </c:pt>
                      <c:pt idx="32">
                        <c:v>Croydon</c:v>
                      </c:pt>
                    </c:strCache>
                  </c:strRef>
                </c:cat>
                <c:val>
                  <c:numRef>
                    <c:extLst xmlns:c15="http://schemas.microsoft.com/office/drawing/2012/chart">
                      <c:ext xmlns:c15="http://schemas.microsoft.com/office/drawing/2012/chart" uri="{02D57815-91ED-43cb-92C2-25804820EDAC}">
                        <c15:formulaRef>
                          <c15:sqref>LAC!$E$4:$E$36</c15:sqref>
                        </c15:formulaRef>
                      </c:ext>
                    </c:extLst>
                    <c:numCache>
                      <c:formatCode>#,##0</c:formatCode>
                      <c:ptCount val="33"/>
                      <c:pt idx="0">
                        <c:v>5</c:v>
                      </c:pt>
                      <c:pt idx="1">
                        <c:v>95</c:v>
                      </c:pt>
                      <c:pt idx="2">
                        <c:v>115</c:v>
                      </c:pt>
                      <c:pt idx="3">
                        <c:v>85</c:v>
                      </c:pt>
                      <c:pt idx="4">
                        <c:v>150</c:v>
                      </c:pt>
                      <c:pt idx="5">
                        <c:v>175</c:v>
                      </c:pt>
                      <c:pt idx="6">
                        <c:v>165</c:v>
                      </c:pt>
                      <c:pt idx="7">
                        <c:v>225</c:v>
                      </c:pt>
                      <c:pt idx="8">
                        <c:v>205</c:v>
                      </c:pt>
                      <c:pt idx="9">
                        <c:v>215</c:v>
                      </c:pt>
                      <c:pt idx="10">
                        <c:v>205</c:v>
                      </c:pt>
                      <c:pt idx="11">
                        <c:v>195</c:v>
                      </c:pt>
                      <c:pt idx="12">
                        <c:v>205</c:v>
                      </c:pt>
                      <c:pt idx="13">
                        <c:v>260</c:v>
                      </c:pt>
                      <c:pt idx="14">
                        <c:v>315</c:v>
                      </c:pt>
                      <c:pt idx="15">
                        <c:v>265</c:v>
                      </c:pt>
                      <c:pt idx="16">
                        <c:v>275</c:v>
                      </c:pt>
                      <c:pt idx="17">
                        <c:v>325</c:v>
                      </c:pt>
                      <c:pt idx="18">
                        <c:v>310</c:v>
                      </c:pt>
                      <c:pt idx="19">
                        <c:v>340</c:v>
                      </c:pt>
                      <c:pt idx="20">
                        <c:v>350</c:v>
                      </c:pt>
                      <c:pt idx="21">
                        <c:v>355</c:v>
                      </c:pt>
                      <c:pt idx="22">
                        <c:v>405</c:v>
                      </c:pt>
                      <c:pt idx="23">
                        <c:v>305</c:v>
                      </c:pt>
                      <c:pt idx="24">
                        <c:v>300</c:v>
                      </c:pt>
                      <c:pt idx="25">
                        <c:v>385</c:v>
                      </c:pt>
                      <c:pt idx="26">
                        <c:v>510</c:v>
                      </c:pt>
                      <c:pt idx="27">
                        <c:v>455</c:v>
                      </c:pt>
                      <c:pt idx="28">
                        <c:v>530</c:v>
                      </c:pt>
                      <c:pt idx="29">
                        <c:v>505</c:v>
                      </c:pt>
                      <c:pt idx="30">
                        <c:v>550</c:v>
                      </c:pt>
                      <c:pt idx="31">
                        <c:v>540</c:v>
                      </c:pt>
                      <c:pt idx="32">
                        <c:v>785</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LAC!$F$3</c15:sqref>
                        </c15:formulaRef>
                      </c:ext>
                    </c:extLst>
                    <c:strCache>
                      <c:ptCount val="1"/>
                      <c:pt idx="0">
                        <c:v>2015</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LAC!$C$4:$C$36</c15:sqref>
                        </c15:formulaRef>
                      </c:ext>
                    </c:extLst>
                    <c:strCache>
                      <c:ptCount val="33"/>
                      <c:pt idx="0">
                        <c:v>City Of London</c:v>
                      </c:pt>
                      <c:pt idx="1">
                        <c:v>Kensington and Chelsea</c:v>
                      </c:pt>
                      <c:pt idx="2">
                        <c:v>Kingston Upon Thames</c:v>
                      </c:pt>
                      <c:pt idx="3">
                        <c:v>Richmond Upon Thames</c:v>
                      </c:pt>
                      <c:pt idx="4">
                        <c:v>Merton</c:v>
                      </c:pt>
                      <c:pt idx="5">
                        <c:v>Westminster</c:v>
                      </c:pt>
                      <c:pt idx="6">
                        <c:v>Harrow</c:v>
                      </c:pt>
                      <c:pt idx="7">
                        <c:v>Camden</c:v>
                      </c:pt>
                      <c:pt idx="8">
                        <c:v>Hammersmith and Fulham</c:v>
                      </c:pt>
                      <c:pt idx="9">
                        <c:v>Redbridge</c:v>
                      </c:pt>
                      <c:pt idx="10">
                        <c:v>Havering</c:v>
                      </c:pt>
                      <c:pt idx="11">
                        <c:v>Sutton</c:v>
                      </c:pt>
                      <c:pt idx="12">
                        <c:v>Wandsworth</c:v>
                      </c:pt>
                      <c:pt idx="13">
                        <c:v>Bexley</c:v>
                      </c:pt>
                      <c:pt idx="14">
                        <c:v>Hounslow</c:v>
                      </c:pt>
                      <c:pt idx="15">
                        <c:v>Waltham Forest</c:v>
                      </c:pt>
                      <c:pt idx="16">
                        <c:v>Bromley</c:v>
                      </c:pt>
                      <c:pt idx="17">
                        <c:v>Tower Hamlets</c:v>
                      </c:pt>
                      <c:pt idx="18">
                        <c:v>Barnet</c:v>
                      </c:pt>
                      <c:pt idx="19">
                        <c:v>Hackney</c:v>
                      </c:pt>
                      <c:pt idx="20">
                        <c:v>Brent</c:v>
                      </c:pt>
                      <c:pt idx="21">
                        <c:v>Hillingdon</c:v>
                      </c:pt>
                      <c:pt idx="22">
                        <c:v>Newham</c:v>
                      </c:pt>
                      <c:pt idx="23">
                        <c:v>Islington</c:v>
                      </c:pt>
                      <c:pt idx="24">
                        <c:v>Enfield</c:v>
                      </c:pt>
                      <c:pt idx="25">
                        <c:v>Ealing</c:v>
                      </c:pt>
                      <c:pt idx="26">
                        <c:v>Haringey</c:v>
                      </c:pt>
                      <c:pt idx="27">
                        <c:v>Barking and Dagenham</c:v>
                      </c:pt>
                      <c:pt idx="28">
                        <c:v>Lambeth</c:v>
                      </c:pt>
                      <c:pt idx="29">
                        <c:v>Lewisham</c:v>
                      </c:pt>
                      <c:pt idx="30">
                        <c:v>Southwark</c:v>
                      </c:pt>
                      <c:pt idx="31">
                        <c:v>Greenwich</c:v>
                      </c:pt>
                      <c:pt idx="32">
                        <c:v>Croydon</c:v>
                      </c:pt>
                    </c:strCache>
                  </c:strRef>
                </c:cat>
                <c:val>
                  <c:numRef>
                    <c:extLst xmlns:c15="http://schemas.microsoft.com/office/drawing/2012/chart">
                      <c:ext xmlns:c15="http://schemas.microsoft.com/office/drawing/2012/chart" uri="{02D57815-91ED-43cb-92C2-25804820EDAC}">
                        <c15:formulaRef>
                          <c15:sqref>LAC!$F$4:$F$36</c15:sqref>
                        </c15:formulaRef>
                      </c:ext>
                    </c:extLst>
                    <c:numCache>
                      <c:formatCode>#,##0</c:formatCode>
                      <c:ptCount val="33"/>
                      <c:pt idx="0">
                        <c:v>10</c:v>
                      </c:pt>
                      <c:pt idx="1">
                        <c:v>105</c:v>
                      </c:pt>
                      <c:pt idx="2">
                        <c:v>115</c:v>
                      </c:pt>
                      <c:pt idx="3">
                        <c:v>95</c:v>
                      </c:pt>
                      <c:pt idx="4">
                        <c:v>155</c:v>
                      </c:pt>
                      <c:pt idx="5">
                        <c:v>180</c:v>
                      </c:pt>
                      <c:pt idx="6">
                        <c:v>165</c:v>
                      </c:pt>
                      <c:pt idx="7">
                        <c:v>190</c:v>
                      </c:pt>
                      <c:pt idx="8">
                        <c:v>185</c:v>
                      </c:pt>
                      <c:pt idx="9">
                        <c:v>215</c:v>
                      </c:pt>
                      <c:pt idx="10">
                        <c:v>240</c:v>
                      </c:pt>
                      <c:pt idx="11">
                        <c:v>225</c:v>
                      </c:pt>
                      <c:pt idx="12">
                        <c:v>225</c:v>
                      </c:pt>
                      <c:pt idx="13">
                        <c:v>275</c:v>
                      </c:pt>
                      <c:pt idx="14">
                        <c:v>295</c:v>
                      </c:pt>
                      <c:pt idx="15">
                        <c:v>275</c:v>
                      </c:pt>
                      <c:pt idx="16">
                        <c:v>265</c:v>
                      </c:pt>
                      <c:pt idx="17">
                        <c:v>275</c:v>
                      </c:pt>
                      <c:pt idx="18">
                        <c:v>305</c:v>
                      </c:pt>
                      <c:pt idx="19">
                        <c:v>340</c:v>
                      </c:pt>
                      <c:pt idx="20">
                        <c:v>325</c:v>
                      </c:pt>
                      <c:pt idx="21">
                        <c:v>335</c:v>
                      </c:pt>
                      <c:pt idx="22">
                        <c:v>430</c:v>
                      </c:pt>
                      <c:pt idx="23">
                        <c:v>350</c:v>
                      </c:pt>
                      <c:pt idx="24">
                        <c:v>355</c:v>
                      </c:pt>
                      <c:pt idx="25">
                        <c:v>355</c:v>
                      </c:pt>
                      <c:pt idx="26">
                        <c:v>455</c:v>
                      </c:pt>
                      <c:pt idx="27">
                        <c:v>450</c:v>
                      </c:pt>
                      <c:pt idx="28">
                        <c:v>485</c:v>
                      </c:pt>
                      <c:pt idx="29">
                        <c:v>485</c:v>
                      </c:pt>
                      <c:pt idx="30">
                        <c:v>500</c:v>
                      </c:pt>
                      <c:pt idx="31">
                        <c:v>520</c:v>
                      </c:pt>
                      <c:pt idx="32">
                        <c:v>805</c:v>
                      </c:pt>
                    </c:numCache>
                  </c:numRef>
                </c:val>
              </c15:ser>
            </c15:filteredBarSeries>
            <c15:filteredBarSeries>
              <c15:ser>
                <c:idx val="3"/>
                <c:order val="3"/>
                <c:tx>
                  <c:strRef>
                    <c:extLst xmlns:c15="http://schemas.microsoft.com/office/drawing/2012/chart">
                      <c:ext xmlns:c15="http://schemas.microsoft.com/office/drawing/2012/chart" uri="{02D57815-91ED-43cb-92C2-25804820EDAC}">
                        <c15:formulaRef>
                          <c15:sqref>LAC!$G$3</c15:sqref>
                        </c15:formulaRef>
                      </c:ext>
                    </c:extLst>
                    <c:strCache>
                      <c:ptCount val="1"/>
                      <c:pt idx="0">
                        <c:v>2016</c:v>
                      </c:pt>
                    </c:strCache>
                  </c:strRef>
                </c:tx>
                <c:spPr>
                  <a:solidFill>
                    <a:srgbClr val="0070C0"/>
                  </a:solidFill>
                  <a:ln>
                    <a:noFill/>
                  </a:ln>
                  <a:effectLst/>
                </c:spPr>
                <c:invertIfNegative val="0"/>
                <c:dPt>
                  <c:idx val="32"/>
                  <c:invertIfNegative val="0"/>
                  <c:bubble3D val="0"/>
                  <c:spPr>
                    <a:solidFill>
                      <a:srgbClr val="7030A0"/>
                    </a:solidFill>
                    <a:ln>
                      <a:noFill/>
                    </a:ln>
                    <a:effectLst/>
                  </c:spPr>
                </c:dPt>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extLst xmlns:c15="http://schemas.microsoft.com/office/drawing/2012/chart">
                      <c:ext xmlns:c15="http://schemas.microsoft.com/office/drawing/2012/chart" uri="{02D57815-91ED-43cb-92C2-25804820EDAC}">
                        <c15:formulaRef>
                          <c15:sqref>LAC!$C$4:$C$36</c15:sqref>
                        </c15:formulaRef>
                      </c:ext>
                    </c:extLst>
                    <c:strCache>
                      <c:ptCount val="33"/>
                      <c:pt idx="0">
                        <c:v>City Of London</c:v>
                      </c:pt>
                      <c:pt idx="1">
                        <c:v>Kensington and Chelsea</c:v>
                      </c:pt>
                      <c:pt idx="2">
                        <c:v>Kingston Upon Thames</c:v>
                      </c:pt>
                      <c:pt idx="3">
                        <c:v>Richmond Upon Thames</c:v>
                      </c:pt>
                      <c:pt idx="4">
                        <c:v>Merton</c:v>
                      </c:pt>
                      <c:pt idx="5">
                        <c:v>Westminster</c:v>
                      </c:pt>
                      <c:pt idx="6">
                        <c:v>Harrow</c:v>
                      </c:pt>
                      <c:pt idx="7">
                        <c:v>Camden</c:v>
                      </c:pt>
                      <c:pt idx="8">
                        <c:v>Hammersmith and Fulham</c:v>
                      </c:pt>
                      <c:pt idx="9">
                        <c:v>Redbridge</c:v>
                      </c:pt>
                      <c:pt idx="10">
                        <c:v>Havering</c:v>
                      </c:pt>
                      <c:pt idx="11">
                        <c:v>Sutton</c:v>
                      </c:pt>
                      <c:pt idx="12">
                        <c:v>Wandsworth</c:v>
                      </c:pt>
                      <c:pt idx="13">
                        <c:v>Bexley</c:v>
                      </c:pt>
                      <c:pt idx="14">
                        <c:v>Hounslow</c:v>
                      </c:pt>
                      <c:pt idx="15">
                        <c:v>Waltham Forest</c:v>
                      </c:pt>
                      <c:pt idx="16">
                        <c:v>Bromley</c:v>
                      </c:pt>
                      <c:pt idx="17">
                        <c:v>Tower Hamlets</c:v>
                      </c:pt>
                      <c:pt idx="18">
                        <c:v>Barnet</c:v>
                      </c:pt>
                      <c:pt idx="19">
                        <c:v>Hackney</c:v>
                      </c:pt>
                      <c:pt idx="20">
                        <c:v>Brent</c:v>
                      </c:pt>
                      <c:pt idx="21">
                        <c:v>Hillingdon</c:v>
                      </c:pt>
                      <c:pt idx="22">
                        <c:v>Newham</c:v>
                      </c:pt>
                      <c:pt idx="23">
                        <c:v>Islington</c:v>
                      </c:pt>
                      <c:pt idx="24">
                        <c:v>Enfield</c:v>
                      </c:pt>
                      <c:pt idx="25">
                        <c:v>Ealing</c:v>
                      </c:pt>
                      <c:pt idx="26">
                        <c:v>Haringey</c:v>
                      </c:pt>
                      <c:pt idx="27">
                        <c:v>Barking and Dagenham</c:v>
                      </c:pt>
                      <c:pt idx="28">
                        <c:v>Lambeth</c:v>
                      </c:pt>
                      <c:pt idx="29">
                        <c:v>Lewisham</c:v>
                      </c:pt>
                      <c:pt idx="30">
                        <c:v>Southwark</c:v>
                      </c:pt>
                      <c:pt idx="31">
                        <c:v>Greenwich</c:v>
                      </c:pt>
                      <c:pt idx="32">
                        <c:v>Croydon</c:v>
                      </c:pt>
                    </c:strCache>
                  </c:strRef>
                </c:cat>
                <c:val>
                  <c:numRef>
                    <c:extLst xmlns:c15="http://schemas.microsoft.com/office/drawing/2012/chart">
                      <c:ext xmlns:c15="http://schemas.microsoft.com/office/drawing/2012/chart" uri="{02D57815-91ED-43cb-92C2-25804820EDAC}">
                        <c15:formulaRef>
                          <c15:sqref>LAC!$G$4:$G$36</c15:sqref>
                        </c15:formulaRef>
                      </c:ext>
                    </c:extLst>
                    <c:numCache>
                      <c:formatCode>#,##0</c:formatCode>
                      <c:ptCount val="33"/>
                      <c:pt idx="0">
                        <c:v>10</c:v>
                      </c:pt>
                      <c:pt idx="1">
                        <c:v>105</c:v>
                      </c:pt>
                      <c:pt idx="2">
                        <c:v>110</c:v>
                      </c:pt>
                      <c:pt idx="3">
                        <c:v>115</c:v>
                      </c:pt>
                      <c:pt idx="4">
                        <c:v>165</c:v>
                      </c:pt>
                      <c:pt idx="5">
                        <c:v>170</c:v>
                      </c:pt>
                      <c:pt idx="6">
                        <c:v>180</c:v>
                      </c:pt>
                      <c:pt idx="7">
                        <c:v>190</c:v>
                      </c:pt>
                      <c:pt idx="8">
                        <c:v>200</c:v>
                      </c:pt>
                      <c:pt idx="9">
                        <c:v>215</c:v>
                      </c:pt>
                      <c:pt idx="10">
                        <c:v>230</c:v>
                      </c:pt>
                      <c:pt idx="11">
                        <c:v>230</c:v>
                      </c:pt>
                      <c:pt idx="12">
                        <c:v>250</c:v>
                      </c:pt>
                      <c:pt idx="13">
                        <c:v>260</c:v>
                      </c:pt>
                      <c:pt idx="14">
                        <c:v>280</c:v>
                      </c:pt>
                      <c:pt idx="15">
                        <c:v>280</c:v>
                      </c:pt>
                      <c:pt idx="16">
                        <c:v>285</c:v>
                      </c:pt>
                      <c:pt idx="17">
                        <c:v>305</c:v>
                      </c:pt>
                      <c:pt idx="18">
                        <c:v>315</c:v>
                      </c:pt>
                      <c:pt idx="19">
                        <c:v>330</c:v>
                      </c:pt>
                      <c:pt idx="20">
                        <c:v>335</c:v>
                      </c:pt>
                      <c:pt idx="21">
                        <c:v>340</c:v>
                      </c:pt>
                      <c:pt idx="22">
                        <c:v>350</c:v>
                      </c:pt>
                      <c:pt idx="23">
                        <c:v>355</c:v>
                      </c:pt>
                      <c:pt idx="24">
                        <c:v>355</c:v>
                      </c:pt>
                      <c:pt idx="25">
                        <c:v>370</c:v>
                      </c:pt>
                      <c:pt idx="26">
                        <c:v>405</c:v>
                      </c:pt>
                      <c:pt idx="27">
                        <c:v>415</c:v>
                      </c:pt>
                      <c:pt idx="28">
                        <c:v>460</c:v>
                      </c:pt>
                      <c:pt idx="29">
                        <c:v>460</c:v>
                      </c:pt>
                      <c:pt idx="30">
                        <c:v>475</c:v>
                      </c:pt>
                      <c:pt idx="31">
                        <c:v>520</c:v>
                      </c:pt>
                      <c:pt idx="32">
                        <c:v>805</c:v>
                      </c:pt>
                    </c:numCache>
                  </c:numRef>
                </c:val>
              </c15:ser>
            </c15:filteredBarSeries>
          </c:ext>
        </c:extLst>
      </c:barChart>
      <c:catAx>
        <c:axId val="632453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2454808"/>
        <c:crosses val="autoZero"/>
        <c:auto val="1"/>
        <c:lblAlgn val="ctr"/>
        <c:lblOffset val="100"/>
        <c:noMultiLvlLbl val="0"/>
      </c:catAx>
      <c:valAx>
        <c:axId val="632454808"/>
        <c:scaling>
          <c:orientation val="minMax"/>
          <c:max val="1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2453632"/>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3993838414597977E-2"/>
          <c:y val="0.15870212198051512"/>
          <c:w val="0.87343182114792151"/>
          <c:h val="0.69723375150140121"/>
        </c:manualLayout>
      </c:layout>
      <c:lineChart>
        <c:grouping val="standard"/>
        <c:varyColors val="0"/>
        <c:ser>
          <c:idx val="0"/>
          <c:order val="0"/>
          <c:tx>
            <c:strRef>
              <c:f>CSC!$A$137</c:f>
              <c:strCache>
                <c:ptCount val="1"/>
                <c:pt idx="0">
                  <c:v>UASC </c:v>
                </c:pt>
              </c:strCache>
            </c:strRef>
          </c:tx>
          <c:spPr>
            <a:ln w="28575" cap="rnd">
              <a:solidFill>
                <a:schemeClr val="accent1"/>
              </a:solidFill>
              <a:round/>
            </a:ln>
            <a:effectLst/>
          </c:spPr>
          <c:marker>
            <c:symbol val="diamond"/>
            <c:size val="10"/>
            <c:spPr>
              <a:solidFill>
                <a:schemeClr val="accent1"/>
              </a:solidFill>
              <a:ln w="9525">
                <a:solidFill>
                  <a:schemeClr val="accent1"/>
                </a:solidFill>
              </a:ln>
              <a:effectLst/>
            </c:spPr>
          </c:marker>
          <c:dLbls>
            <c:dLbl>
              <c:idx val="0"/>
              <c:layout>
                <c:manualLayout>
                  <c:x val="-5.2777777777777778E-2"/>
                  <c:y val="6.5104166666666671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1666666666666664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7222222222222221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8333333333333438E-2"/>
                  <c:y val="-6.5104166666666671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5.265190907740306E-2"/>
                  <c:y val="5.2817277106790586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CSC!$B$136:$F$136</c:f>
              <c:numCache>
                <c:formatCode>mmm\-yy</c:formatCode>
                <c:ptCount val="5"/>
                <c:pt idx="0">
                  <c:v>41699</c:v>
                </c:pt>
                <c:pt idx="1">
                  <c:v>42064</c:v>
                </c:pt>
                <c:pt idx="2">
                  <c:v>42430</c:v>
                </c:pt>
                <c:pt idx="3">
                  <c:v>42795</c:v>
                </c:pt>
                <c:pt idx="4">
                  <c:v>43160</c:v>
                </c:pt>
              </c:numCache>
            </c:numRef>
          </c:cat>
          <c:val>
            <c:numRef>
              <c:f>CSC!$B$137:$F$137</c:f>
              <c:numCache>
                <c:formatCode>General</c:formatCode>
                <c:ptCount val="5"/>
                <c:pt idx="0">
                  <c:v>366</c:v>
                </c:pt>
                <c:pt idx="1">
                  <c:v>412</c:v>
                </c:pt>
                <c:pt idx="2">
                  <c:v>431</c:v>
                </c:pt>
                <c:pt idx="3">
                  <c:v>389</c:v>
                </c:pt>
                <c:pt idx="4">
                  <c:v>297</c:v>
                </c:pt>
              </c:numCache>
            </c:numRef>
          </c:val>
          <c:smooth val="0"/>
        </c:ser>
        <c:ser>
          <c:idx val="1"/>
          <c:order val="1"/>
          <c:tx>
            <c:strRef>
              <c:f>CSC!$A$138</c:f>
              <c:strCache>
                <c:ptCount val="1"/>
                <c:pt idx="0">
                  <c:v>Indigenous</c:v>
                </c:pt>
              </c:strCache>
            </c:strRef>
          </c:tx>
          <c:spPr>
            <a:ln w="28575" cap="rnd">
              <a:solidFill>
                <a:schemeClr val="accent2"/>
              </a:solidFill>
              <a:round/>
            </a:ln>
            <a:effectLst/>
          </c:spPr>
          <c:marker>
            <c:symbol val="diamond"/>
            <c:size val="10"/>
            <c:spPr>
              <a:solidFill>
                <a:schemeClr val="accent2"/>
              </a:solidFill>
              <a:ln w="9525">
                <a:solidFill>
                  <a:schemeClr val="accent2"/>
                </a:solidFill>
              </a:ln>
              <a:effectLst/>
            </c:spPr>
          </c:marker>
          <c:dLbls>
            <c:dLbl>
              <c:idx val="0"/>
              <c:layout>
                <c:manualLayout>
                  <c:x val="-6.1111111111111109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4.1666666666666664E-2"/>
                  <c:y val="-5.6423611111111112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4.1666666666666664E-2"/>
                  <c:y val="7.812499999999991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5.2777777777777882E-2"/>
                  <c:y val="6.9444444444444448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5.5912048729757947E-2"/>
                  <c:y val="-5.0555352766334674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CSC!$B$136:$F$136</c:f>
              <c:numCache>
                <c:formatCode>mmm\-yy</c:formatCode>
                <c:ptCount val="5"/>
                <c:pt idx="0">
                  <c:v>41699</c:v>
                </c:pt>
                <c:pt idx="1">
                  <c:v>42064</c:v>
                </c:pt>
                <c:pt idx="2">
                  <c:v>42430</c:v>
                </c:pt>
                <c:pt idx="3">
                  <c:v>42795</c:v>
                </c:pt>
                <c:pt idx="4">
                  <c:v>43160</c:v>
                </c:pt>
              </c:numCache>
            </c:numRef>
          </c:cat>
          <c:val>
            <c:numRef>
              <c:f>CSC!$B$138:$F$138</c:f>
              <c:numCache>
                <c:formatCode>General</c:formatCode>
                <c:ptCount val="5"/>
                <c:pt idx="0">
                  <c:v>419</c:v>
                </c:pt>
                <c:pt idx="1">
                  <c:v>395</c:v>
                </c:pt>
                <c:pt idx="2">
                  <c:v>375</c:v>
                </c:pt>
                <c:pt idx="3">
                  <c:v>396</c:v>
                </c:pt>
                <c:pt idx="4">
                  <c:v>488</c:v>
                </c:pt>
              </c:numCache>
            </c:numRef>
          </c:val>
          <c:smooth val="0"/>
        </c:ser>
        <c:dLbls>
          <c:showLegendKey val="0"/>
          <c:showVal val="0"/>
          <c:showCatName val="0"/>
          <c:showSerName val="0"/>
          <c:showPercent val="0"/>
          <c:showBubbleSize val="0"/>
        </c:dLbls>
        <c:marker val="1"/>
        <c:smooth val="0"/>
        <c:axId val="632455200"/>
        <c:axId val="632455592"/>
      </c:lineChart>
      <c:catAx>
        <c:axId val="632455200"/>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32455592"/>
        <c:crosses val="autoZero"/>
        <c:auto val="0"/>
        <c:lblAlgn val="ctr"/>
        <c:lblOffset val="100"/>
        <c:noMultiLvlLbl val="0"/>
      </c:catAx>
      <c:valAx>
        <c:axId val="632455592"/>
        <c:scaling>
          <c:orientation val="minMax"/>
          <c:max val="700"/>
          <c:min val="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32455200"/>
        <c:crosses val="autoZero"/>
        <c:crossBetween val="between"/>
        <c:majorUnit val="100"/>
      </c:valAx>
      <c:spPr>
        <a:noFill/>
        <a:ln>
          <a:noFill/>
        </a:ln>
        <a:effectLst/>
      </c:spPr>
    </c:plotArea>
    <c:legend>
      <c:legendPos val="b"/>
      <c:layout>
        <c:manualLayout>
          <c:xMode val="edge"/>
          <c:yMode val="edge"/>
          <c:x val="0.22193433442617763"/>
          <c:y val="2.9925263579340718E-2"/>
          <c:w val="0.59696719160104983"/>
          <c:h val="8.9331802274715655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sz="1100"/>
      </a:pPr>
      <a:endParaRPr lang="en-US"/>
    </a:p>
  </c:txPr>
  <c:externalData r:id="rId3">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2866141732283455E-2"/>
          <c:y val="0.19775481189851268"/>
          <c:w val="0.87935608048993874"/>
          <c:h val="0.69016622922134729"/>
        </c:manualLayout>
      </c:layout>
      <c:barChart>
        <c:barDir val="col"/>
        <c:grouping val="clustered"/>
        <c:varyColors val="0"/>
        <c:ser>
          <c:idx val="0"/>
          <c:order val="0"/>
          <c:tx>
            <c:strRef>
              <c:f>CSC!$C$148</c:f>
              <c:strCache>
                <c:ptCount val="1"/>
                <c:pt idx="0">
                  <c:v>2012/13</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CSC!$A$149:$A$153</c:f>
              <c:strCache>
                <c:ptCount val="5"/>
                <c:pt idx="0">
                  <c:v>Under 1 year</c:v>
                </c:pt>
                <c:pt idx="1">
                  <c:v>1 - 4 years</c:v>
                </c:pt>
                <c:pt idx="2">
                  <c:v>5 - 9 years</c:v>
                </c:pt>
                <c:pt idx="3">
                  <c:v>10 -15 years</c:v>
                </c:pt>
                <c:pt idx="4">
                  <c:v>16+ years</c:v>
                </c:pt>
              </c:strCache>
            </c:strRef>
          </c:cat>
          <c:val>
            <c:numRef>
              <c:f>CSC!$C$149:$C$153</c:f>
              <c:numCache>
                <c:formatCode>General</c:formatCode>
                <c:ptCount val="5"/>
                <c:pt idx="0">
                  <c:v>26</c:v>
                </c:pt>
                <c:pt idx="1">
                  <c:v>68</c:v>
                </c:pt>
                <c:pt idx="2">
                  <c:v>84</c:v>
                </c:pt>
                <c:pt idx="3">
                  <c:v>155</c:v>
                </c:pt>
                <c:pt idx="4">
                  <c:v>98</c:v>
                </c:pt>
              </c:numCache>
            </c:numRef>
          </c:val>
        </c:ser>
        <c:ser>
          <c:idx val="1"/>
          <c:order val="1"/>
          <c:tx>
            <c:strRef>
              <c:f>CSC!$D$148</c:f>
              <c:strCache>
                <c:ptCount val="1"/>
                <c:pt idx="0">
                  <c:v>2013/14</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CSC!$A$149:$A$153</c:f>
              <c:strCache>
                <c:ptCount val="5"/>
                <c:pt idx="0">
                  <c:v>Under 1 year</c:v>
                </c:pt>
                <c:pt idx="1">
                  <c:v>1 - 4 years</c:v>
                </c:pt>
                <c:pt idx="2">
                  <c:v>5 - 9 years</c:v>
                </c:pt>
                <c:pt idx="3">
                  <c:v>10 -15 years</c:v>
                </c:pt>
                <c:pt idx="4">
                  <c:v>16+ years</c:v>
                </c:pt>
              </c:strCache>
            </c:strRef>
          </c:cat>
          <c:val>
            <c:numRef>
              <c:f>CSC!$D$149:$D$153</c:f>
              <c:numCache>
                <c:formatCode>General</c:formatCode>
                <c:ptCount val="5"/>
                <c:pt idx="0">
                  <c:v>21</c:v>
                </c:pt>
                <c:pt idx="1">
                  <c:v>65</c:v>
                </c:pt>
                <c:pt idx="2">
                  <c:v>76</c:v>
                </c:pt>
                <c:pt idx="3">
                  <c:v>171</c:v>
                </c:pt>
                <c:pt idx="4">
                  <c:v>104</c:v>
                </c:pt>
              </c:numCache>
            </c:numRef>
          </c:val>
        </c:ser>
        <c:ser>
          <c:idx val="2"/>
          <c:order val="2"/>
          <c:tx>
            <c:strRef>
              <c:f>CSC!$E$148</c:f>
              <c:strCache>
                <c:ptCount val="1"/>
                <c:pt idx="0">
                  <c:v>2014/15</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CSC!$A$149:$A$153</c:f>
              <c:strCache>
                <c:ptCount val="5"/>
                <c:pt idx="0">
                  <c:v>Under 1 year</c:v>
                </c:pt>
                <c:pt idx="1">
                  <c:v>1 - 4 years</c:v>
                </c:pt>
                <c:pt idx="2">
                  <c:v>5 - 9 years</c:v>
                </c:pt>
                <c:pt idx="3">
                  <c:v>10 -15 years</c:v>
                </c:pt>
                <c:pt idx="4">
                  <c:v>16+ years</c:v>
                </c:pt>
              </c:strCache>
            </c:strRef>
          </c:cat>
          <c:val>
            <c:numRef>
              <c:f>CSC!$E$149:$E$153</c:f>
              <c:numCache>
                <c:formatCode>General</c:formatCode>
                <c:ptCount val="5"/>
                <c:pt idx="0">
                  <c:v>12</c:v>
                </c:pt>
                <c:pt idx="1">
                  <c:v>51</c:v>
                </c:pt>
                <c:pt idx="2">
                  <c:v>62</c:v>
                </c:pt>
                <c:pt idx="3">
                  <c:v>158</c:v>
                </c:pt>
                <c:pt idx="4">
                  <c:v>102</c:v>
                </c:pt>
              </c:numCache>
            </c:numRef>
          </c:val>
        </c:ser>
        <c:ser>
          <c:idx val="3"/>
          <c:order val="3"/>
          <c:tx>
            <c:strRef>
              <c:f>CSC!$F$148</c:f>
              <c:strCache>
                <c:ptCount val="1"/>
                <c:pt idx="0">
                  <c:v>2015/16</c:v>
                </c:pt>
              </c:strCache>
            </c:strRef>
          </c:tx>
          <c:spPr>
            <a:solidFill>
              <a:schemeClr val="accent4"/>
            </a:solidFill>
            <a:ln>
              <a:noFill/>
            </a:ln>
            <a:effectLst/>
          </c:spPr>
          <c:invertIfNegative val="0"/>
          <c:dLbls>
            <c:spPr>
              <a:noFill/>
              <a:ln>
                <a:noFill/>
              </a:ln>
              <a:effectLst/>
            </c:spPr>
            <c:txPr>
              <a:bodyPr rot="-5400000" spcFirstLastPara="1" vertOverflow="ellipsis"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CSC!$A$149:$A$153</c:f>
              <c:strCache>
                <c:ptCount val="5"/>
                <c:pt idx="0">
                  <c:v>Under 1 year</c:v>
                </c:pt>
                <c:pt idx="1">
                  <c:v>1 - 4 years</c:v>
                </c:pt>
                <c:pt idx="2">
                  <c:v>5 - 9 years</c:v>
                </c:pt>
                <c:pt idx="3">
                  <c:v>10 -15 years</c:v>
                </c:pt>
                <c:pt idx="4">
                  <c:v>16+ years</c:v>
                </c:pt>
              </c:strCache>
            </c:strRef>
          </c:cat>
          <c:val>
            <c:numRef>
              <c:f>CSC!$F$149:$F$153</c:f>
              <c:numCache>
                <c:formatCode>General</c:formatCode>
                <c:ptCount val="5"/>
                <c:pt idx="0">
                  <c:v>18</c:v>
                </c:pt>
                <c:pt idx="1">
                  <c:v>43</c:v>
                </c:pt>
                <c:pt idx="2">
                  <c:v>56</c:v>
                </c:pt>
                <c:pt idx="3">
                  <c:v>146</c:v>
                </c:pt>
                <c:pt idx="4">
                  <c:v>109</c:v>
                </c:pt>
              </c:numCache>
            </c:numRef>
          </c:val>
        </c:ser>
        <c:ser>
          <c:idx val="4"/>
          <c:order val="4"/>
          <c:tx>
            <c:strRef>
              <c:f>CSC!$G$148</c:f>
              <c:strCache>
                <c:ptCount val="1"/>
                <c:pt idx="0">
                  <c:v>2016/17</c:v>
                </c:pt>
              </c:strCache>
            </c:strRef>
          </c:tx>
          <c:spPr>
            <a:solidFill>
              <a:schemeClr val="accent5"/>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1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CSC!$A$149:$A$153</c:f>
              <c:strCache>
                <c:ptCount val="5"/>
                <c:pt idx="0">
                  <c:v>Under 1 year</c:v>
                </c:pt>
                <c:pt idx="1">
                  <c:v>1 - 4 years</c:v>
                </c:pt>
                <c:pt idx="2">
                  <c:v>5 - 9 years</c:v>
                </c:pt>
                <c:pt idx="3">
                  <c:v>10 -15 years</c:v>
                </c:pt>
                <c:pt idx="4">
                  <c:v>16+ years</c:v>
                </c:pt>
              </c:strCache>
            </c:strRef>
          </c:cat>
          <c:val>
            <c:numRef>
              <c:f>CSC!$G$149:$G$153</c:f>
              <c:numCache>
                <c:formatCode>General</c:formatCode>
                <c:ptCount val="5"/>
                <c:pt idx="0">
                  <c:v>28</c:v>
                </c:pt>
                <c:pt idx="1">
                  <c:v>45</c:v>
                </c:pt>
                <c:pt idx="2">
                  <c:v>63</c:v>
                </c:pt>
                <c:pt idx="3">
                  <c:v>153</c:v>
                </c:pt>
                <c:pt idx="4">
                  <c:v>110</c:v>
                </c:pt>
              </c:numCache>
            </c:numRef>
          </c:val>
        </c:ser>
        <c:dLbls>
          <c:showLegendKey val="0"/>
          <c:showVal val="0"/>
          <c:showCatName val="0"/>
          <c:showSerName val="0"/>
          <c:showPercent val="0"/>
          <c:showBubbleSize val="0"/>
        </c:dLbls>
        <c:gapWidth val="99"/>
        <c:overlap val="3"/>
        <c:axId val="632450888"/>
        <c:axId val="632456768"/>
      </c:barChart>
      <c:catAx>
        <c:axId val="632450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32456768"/>
        <c:crosses val="autoZero"/>
        <c:auto val="1"/>
        <c:lblAlgn val="ctr"/>
        <c:lblOffset val="100"/>
        <c:noMultiLvlLbl val="0"/>
      </c:catAx>
      <c:valAx>
        <c:axId val="632456768"/>
        <c:scaling>
          <c:orientation val="minMax"/>
          <c:max val="2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632450888"/>
        <c:crosses val="autoZero"/>
        <c:crossBetween val="between"/>
        <c:majorUnit val="50"/>
      </c:valAx>
      <c:spPr>
        <a:noFill/>
        <a:ln>
          <a:noFill/>
        </a:ln>
        <a:effectLst/>
      </c:spPr>
    </c:plotArea>
    <c:legend>
      <c:legendPos val="b"/>
      <c:layout>
        <c:manualLayout>
          <c:xMode val="edge"/>
          <c:yMode val="edge"/>
          <c:x val="8.7884076990376203E-2"/>
          <c:y val="3.5668197725284331E-2"/>
          <c:w val="0.82703063279880706"/>
          <c:h val="8.933180227471565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100"/>
      </a:pPr>
      <a:endParaRPr lang="en-US"/>
    </a:p>
  </c:txPr>
  <c:externalData r:id="rId4">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909273840769903"/>
          <c:y val="0.125"/>
          <c:w val="0.79297462817147868"/>
          <c:h val="0.75428988043161282"/>
        </c:manualLayout>
      </c:layout>
      <c:barChart>
        <c:barDir val="col"/>
        <c:grouping val="clustered"/>
        <c:varyColors val="0"/>
        <c:ser>
          <c:idx val="0"/>
          <c:order val="0"/>
          <c:tx>
            <c:strRef>
              <c:f>CareLeavers!$A$9</c:f>
              <c:strCache>
                <c:ptCount val="1"/>
                <c:pt idx="0">
                  <c:v>Croydon</c:v>
                </c:pt>
              </c:strCache>
            </c:strRef>
          </c:tx>
          <c:spPr>
            <a:solidFill>
              <a:schemeClr val="accent1"/>
            </a:solidFill>
            <a:ln>
              <a:noFill/>
            </a:ln>
            <a:effectLst/>
          </c:spPr>
          <c:invertIfNegative val="0"/>
          <c:dLbls>
            <c:spPr>
              <a:noFill/>
              <a:ln>
                <a:noFill/>
              </a:ln>
              <a:effectLst/>
            </c:spPr>
            <c:txPr>
              <a:bodyPr rot="-5400000" spcFirstLastPara="1" vertOverflow="ellipsis" wrap="square" anchor="ctr" anchorCtr="1"/>
              <a:lstStyle/>
              <a:p>
                <a:pPr>
                  <a:defRPr sz="12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CareLeavers!$F$8:$J$8</c:f>
              <c:numCache>
                <c:formatCode>General</c:formatCode>
                <c:ptCount val="5"/>
                <c:pt idx="0">
                  <c:v>2012</c:v>
                </c:pt>
                <c:pt idx="1">
                  <c:v>2013</c:v>
                </c:pt>
                <c:pt idx="2">
                  <c:v>2014</c:v>
                </c:pt>
                <c:pt idx="3">
                  <c:v>2015</c:v>
                </c:pt>
                <c:pt idx="4">
                  <c:v>2016</c:v>
                </c:pt>
              </c:numCache>
            </c:numRef>
          </c:cat>
          <c:val>
            <c:numRef>
              <c:f>CareLeavers!$F$9:$J$9</c:f>
              <c:numCache>
                <c:formatCode>General</c:formatCode>
                <c:ptCount val="5"/>
                <c:pt idx="0">
                  <c:v>43</c:v>
                </c:pt>
                <c:pt idx="1">
                  <c:v>57</c:v>
                </c:pt>
                <c:pt idx="2">
                  <c:v>47</c:v>
                </c:pt>
                <c:pt idx="3">
                  <c:v>54</c:v>
                </c:pt>
                <c:pt idx="4">
                  <c:v>60</c:v>
                </c:pt>
              </c:numCache>
            </c:numRef>
          </c:val>
        </c:ser>
        <c:ser>
          <c:idx val="1"/>
          <c:order val="1"/>
          <c:tx>
            <c:strRef>
              <c:f>CareLeavers!$A$10</c:f>
              <c:strCache>
                <c:ptCount val="1"/>
                <c:pt idx="0">
                  <c:v>London</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12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CareLeavers!$F$8:$J$8</c:f>
              <c:numCache>
                <c:formatCode>General</c:formatCode>
                <c:ptCount val="5"/>
                <c:pt idx="0">
                  <c:v>2012</c:v>
                </c:pt>
                <c:pt idx="1">
                  <c:v>2013</c:v>
                </c:pt>
                <c:pt idx="2">
                  <c:v>2014</c:v>
                </c:pt>
                <c:pt idx="3">
                  <c:v>2015</c:v>
                </c:pt>
                <c:pt idx="4">
                  <c:v>2016</c:v>
                </c:pt>
              </c:numCache>
            </c:numRef>
          </c:cat>
          <c:val>
            <c:numRef>
              <c:f>CareLeavers!$F$10:$J$10</c:f>
              <c:numCache>
                <c:formatCode>General</c:formatCode>
                <c:ptCount val="5"/>
                <c:pt idx="0">
                  <c:v>59</c:v>
                </c:pt>
                <c:pt idx="1">
                  <c:v>64</c:v>
                </c:pt>
                <c:pt idx="2">
                  <c:v>54</c:v>
                </c:pt>
                <c:pt idx="3">
                  <c:v>53</c:v>
                </c:pt>
                <c:pt idx="4">
                  <c:v>54</c:v>
                </c:pt>
              </c:numCache>
            </c:numRef>
          </c:val>
        </c:ser>
        <c:ser>
          <c:idx val="2"/>
          <c:order val="2"/>
          <c:tx>
            <c:strRef>
              <c:f>CareLeavers!$A$11</c:f>
              <c:strCache>
                <c:ptCount val="1"/>
                <c:pt idx="0">
                  <c:v>England</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1200" b="0" i="0" u="none" strike="noStrike" kern="1200" baseline="0">
                    <a:solidFill>
                      <a:schemeClr val="bg1"/>
                    </a:solidFill>
                    <a:latin typeface="+mn-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CareLeavers!$F$8:$J$8</c:f>
              <c:numCache>
                <c:formatCode>General</c:formatCode>
                <c:ptCount val="5"/>
                <c:pt idx="0">
                  <c:v>2012</c:v>
                </c:pt>
                <c:pt idx="1">
                  <c:v>2013</c:v>
                </c:pt>
                <c:pt idx="2">
                  <c:v>2014</c:v>
                </c:pt>
                <c:pt idx="3">
                  <c:v>2015</c:v>
                </c:pt>
                <c:pt idx="4">
                  <c:v>2016</c:v>
                </c:pt>
              </c:numCache>
            </c:numRef>
          </c:cat>
          <c:val>
            <c:numRef>
              <c:f>CareLeavers!$F$11:$J$11</c:f>
              <c:numCache>
                <c:formatCode>General</c:formatCode>
                <c:ptCount val="5"/>
                <c:pt idx="0">
                  <c:v>58</c:v>
                </c:pt>
                <c:pt idx="1">
                  <c:v>58</c:v>
                </c:pt>
                <c:pt idx="2">
                  <c:v>45</c:v>
                </c:pt>
                <c:pt idx="3">
                  <c:v>48</c:v>
                </c:pt>
                <c:pt idx="4">
                  <c:v>49</c:v>
                </c:pt>
              </c:numCache>
            </c:numRef>
          </c:val>
        </c:ser>
        <c:dLbls>
          <c:showLegendKey val="0"/>
          <c:showVal val="0"/>
          <c:showCatName val="0"/>
          <c:showSerName val="0"/>
          <c:showPercent val="0"/>
          <c:showBubbleSize val="0"/>
        </c:dLbls>
        <c:gapWidth val="49"/>
        <c:axId val="632173400"/>
        <c:axId val="632170264"/>
      </c:barChart>
      <c:catAx>
        <c:axId val="632173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32170264"/>
        <c:crosses val="autoZero"/>
        <c:auto val="1"/>
        <c:lblAlgn val="ctr"/>
        <c:lblOffset val="100"/>
        <c:noMultiLvlLbl val="0"/>
      </c:catAx>
      <c:valAx>
        <c:axId val="63217026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32173400"/>
        <c:crosses val="autoZero"/>
        <c:crossBetween val="between"/>
        <c:majorUnit val="20"/>
      </c:valAx>
      <c:spPr>
        <a:noFill/>
        <a:ln>
          <a:noFill/>
        </a:ln>
        <a:effectLst/>
      </c:spPr>
    </c:plotArea>
    <c:legend>
      <c:legendPos val="b"/>
      <c:layout>
        <c:manualLayout>
          <c:xMode val="edge"/>
          <c:yMode val="edge"/>
          <c:x val="0.24341404199475061"/>
          <c:y val="3.7615193934091573E-2"/>
          <c:w val="0.55463517060367451"/>
          <c:h val="9.955344123651208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200"/>
      </a:pPr>
      <a:endParaRPr lang="en-US"/>
    </a:p>
  </c:txPr>
  <c:externalData r:id="rId4">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1.0230927016475919E-2"/>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ASC!$L$42</c:f>
              <c:strCache>
                <c:ptCount val="1"/>
                <c:pt idx="0">
                  <c:v>Croydon</c:v>
                </c:pt>
              </c:strCache>
            </c:strRef>
          </c:tx>
          <c:spPr>
            <a:solidFill>
              <a:srgbClr val="7030A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ASC!$M$41:$P$41</c:f>
              <c:strCache>
                <c:ptCount val="4"/>
                <c:pt idx="0">
                  <c:v>18-64</c:v>
                </c:pt>
                <c:pt idx="1">
                  <c:v>65-74</c:v>
                </c:pt>
                <c:pt idx="2">
                  <c:v>75-84</c:v>
                </c:pt>
                <c:pt idx="3">
                  <c:v>85+</c:v>
                </c:pt>
              </c:strCache>
            </c:strRef>
          </c:cat>
          <c:val>
            <c:numRef>
              <c:f>ASC!$M$42:$P$42</c:f>
              <c:numCache>
                <c:formatCode>0.0%</c:formatCode>
                <c:ptCount val="4"/>
                <c:pt idx="0">
                  <c:v>4.8885077186963978E-2</c:v>
                </c:pt>
                <c:pt idx="1">
                  <c:v>8.7478559176672382E-2</c:v>
                </c:pt>
                <c:pt idx="2">
                  <c:v>0.19210977701543738</c:v>
                </c:pt>
                <c:pt idx="3">
                  <c:v>0.67152658662092624</c:v>
                </c:pt>
              </c:numCache>
            </c:numRef>
          </c:val>
        </c:ser>
        <c:dLbls>
          <c:showLegendKey val="0"/>
          <c:showVal val="0"/>
          <c:showCatName val="0"/>
          <c:showSerName val="0"/>
          <c:showPercent val="0"/>
          <c:showBubbleSize val="0"/>
        </c:dLbls>
        <c:gapWidth val="21"/>
        <c:axId val="632169872"/>
        <c:axId val="632174968"/>
      </c:barChart>
      <c:catAx>
        <c:axId val="632169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32174968"/>
        <c:crosses val="autoZero"/>
        <c:auto val="1"/>
        <c:lblAlgn val="ctr"/>
        <c:lblOffset val="100"/>
        <c:noMultiLvlLbl val="0"/>
      </c:catAx>
      <c:valAx>
        <c:axId val="63217496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632169872"/>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ASC!$K$149</c:f>
              <c:strCache>
                <c:ptCount val="1"/>
                <c:pt idx="0">
                  <c:v>Croydon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ASC!$L$148:$P$148</c:f>
              <c:strCache>
                <c:ptCount val="5"/>
                <c:pt idx="0">
                  <c:v>Short Term Care: to maximise independence</c:v>
                </c:pt>
                <c:pt idx="1">
                  <c:v>Ongoing Low Level Support</c:v>
                </c:pt>
                <c:pt idx="2">
                  <c:v>Short Term Care: other short term</c:v>
                </c:pt>
                <c:pt idx="3">
                  <c:v>Universal Services/ Signposted to other services</c:v>
                </c:pt>
                <c:pt idx="4">
                  <c:v>No Services Provided</c:v>
                </c:pt>
              </c:strCache>
            </c:strRef>
          </c:cat>
          <c:val>
            <c:numRef>
              <c:f>ASC!$L$149:$P$149</c:f>
              <c:numCache>
                <c:formatCode>0.0%</c:formatCode>
                <c:ptCount val="5"/>
                <c:pt idx="0">
                  <c:v>7.0938215102974822E-2</c:v>
                </c:pt>
                <c:pt idx="1">
                  <c:v>0.13043478260869565</c:v>
                </c:pt>
                <c:pt idx="2">
                  <c:v>0.52173913043478259</c:v>
                </c:pt>
                <c:pt idx="3">
                  <c:v>0.20366132723112129</c:v>
                </c:pt>
                <c:pt idx="4">
                  <c:v>3.6613272311212815E-2</c:v>
                </c:pt>
              </c:numCache>
            </c:numRef>
          </c:val>
        </c:ser>
        <c:dLbls>
          <c:showLegendKey val="0"/>
          <c:showVal val="0"/>
          <c:showCatName val="0"/>
          <c:showSerName val="0"/>
          <c:showPercent val="0"/>
          <c:showBubbleSize val="0"/>
        </c:dLbls>
        <c:gapWidth val="51"/>
        <c:axId val="632172224"/>
        <c:axId val="632170656"/>
      </c:barChart>
      <c:catAx>
        <c:axId val="632172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2170656"/>
        <c:crosses val="autoZero"/>
        <c:auto val="1"/>
        <c:lblAlgn val="ctr"/>
        <c:lblOffset val="100"/>
        <c:noMultiLvlLbl val="0"/>
      </c:catAx>
      <c:valAx>
        <c:axId val="63217065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2172224"/>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ASC!$K$184</c:f>
              <c:strCache>
                <c:ptCount val="1"/>
                <c:pt idx="0">
                  <c:v>Croydon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ASC!$L$183:$P$183</c:f>
              <c:strCache>
                <c:ptCount val="5"/>
                <c:pt idx="0">
                  <c:v>Short Term Care: to maximise independence</c:v>
                </c:pt>
                <c:pt idx="1">
                  <c:v>Ongoing Low Level Support</c:v>
                </c:pt>
                <c:pt idx="2">
                  <c:v>Short Term Care: other short term</c:v>
                </c:pt>
                <c:pt idx="3">
                  <c:v>Universal Services/ Signposted to other services</c:v>
                </c:pt>
                <c:pt idx="4">
                  <c:v>No Services Provided</c:v>
                </c:pt>
              </c:strCache>
            </c:strRef>
          </c:cat>
          <c:val>
            <c:numRef>
              <c:f>ASC!$L$184:$P$184</c:f>
              <c:numCache>
                <c:formatCode>0.0%</c:formatCode>
                <c:ptCount val="5"/>
                <c:pt idx="0">
                  <c:v>0.20378151260504201</c:v>
                </c:pt>
                <c:pt idx="1">
                  <c:v>0.10819327731092437</c:v>
                </c:pt>
                <c:pt idx="2">
                  <c:v>0.43802521008403361</c:v>
                </c:pt>
                <c:pt idx="3">
                  <c:v>0.14180672268907563</c:v>
                </c:pt>
                <c:pt idx="4">
                  <c:v>5.6722689075630252E-2</c:v>
                </c:pt>
              </c:numCache>
            </c:numRef>
          </c:val>
        </c:ser>
        <c:dLbls>
          <c:showLegendKey val="0"/>
          <c:showVal val="0"/>
          <c:showCatName val="0"/>
          <c:showSerName val="0"/>
          <c:showPercent val="0"/>
          <c:showBubbleSize val="0"/>
        </c:dLbls>
        <c:gapWidth val="51"/>
        <c:axId val="632171440"/>
        <c:axId val="632172616"/>
      </c:barChart>
      <c:catAx>
        <c:axId val="632171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2172616"/>
        <c:crosses val="autoZero"/>
        <c:auto val="1"/>
        <c:lblAlgn val="ctr"/>
        <c:lblOffset val="100"/>
        <c:noMultiLvlLbl val="0"/>
      </c:catAx>
      <c:valAx>
        <c:axId val="63217261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2171440"/>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3579877138202552E-2"/>
          <c:y val="7.1509097680357528E-2"/>
          <c:w val="0.88425599884604933"/>
          <c:h val="0.78493589061502433"/>
        </c:manualLayout>
      </c:layout>
      <c:barChart>
        <c:barDir val="col"/>
        <c:grouping val="clustered"/>
        <c:varyColors val="0"/>
        <c:ser>
          <c:idx val="0"/>
          <c:order val="0"/>
          <c:tx>
            <c:strRef>
              <c:f>ASC!$M$232</c:f>
              <c:strCache>
                <c:ptCount val="1"/>
                <c:pt idx="0">
                  <c:v>Croydon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ASC!$N$231:$T$231</c:f>
              <c:strCache>
                <c:ptCount val="7"/>
                <c:pt idx="0">
                  <c:v>Physical Support
Access and Mobility Only</c:v>
                </c:pt>
                <c:pt idx="1">
                  <c:v>Physical Support
Personal Care Support</c:v>
                </c:pt>
                <c:pt idx="2">
                  <c:v>Sensory Support
Support for Visual Impairment</c:v>
                </c:pt>
                <c:pt idx="3">
                  <c:v>Learning Disability Support
</c:v>
                </c:pt>
                <c:pt idx="4">
                  <c:v>Mental Health Support
</c:v>
                </c:pt>
                <c:pt idx="5">
                  <c:v>Social Support
Asylum Seeker Support</c:v>
                </c:pt>
                <c:pt idx="6">
                  <c:v>Social Support
Support for Social Isolation/Other</c:v>
                </c:pt>
              </c:strCache>
            </c:strRef>
          </c:cat>
          <c:val>
            <c:numRef>
              <c:f>ASC!$N$232:$T$232</c:f>
              <c:numCache>
                <c:formatCode>0.0%</c:formatCode>
                <c:ptCount val="7"/>
                <c:pt idx="0">
                  <c:v>7.6923076923076927E-2</c:v>
                </c:pt>
                <c:pt idx="1">
                  <c:v>0.18181818181818182</c:v>
                </c:pt>
                <c:pt idx="2">
                  <c:v>4.662004662004662E-3</c:v>
                </c:pt>
                <c:pt idx="3">
                  <c:v>0.34265734265734266</c:v>
                </c:pt>
                <c:pt idx="4">
                  <c:v>0.36596736596736595</c:v>
                </c:pt>
                <c:pt idx="5">
                  <c:v>1.6317016317016316E-2</c:v>
                </c:pt>
                <c:pt idx="6">
                  <c:v>6.993006993006993E-3</c:v>
                </c:pt>
              </c:numCache>
            </c:numRef>
          </c:val>
        </c:ser>
        <c:dLbls>
          <c:showLegendKey val="0"/>
          <c:showVal val="0"/>
          <c:showCatName val="0"/>
          <c:showSerName val="0"/>
          <c:showPercent val="0"/>
          <c:showBubbleSize val="0"/>
        </c:dLbls>
        <c:gapWidth val="20"/>
        <c:axId val="632171832"/>
        <c:axId val="632173008"/>
      </c:barChart>
      <c:catAx>
        <c:axId val="6321718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632173008"/>
        <c:crosses val="autoZero"/>
        <c:auto val="1"/>
        <c:lblAlgn val="ctr"/>
        <c:lblOffset val="100"/>
        <c:noMultiLvlLbl val="0"/>
      </c:catAx>
      <c:valAx>
        <c:axId val="632173008"/>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2171832"/>
        <c:crosses val="autoZero"/>
        <c:crossBetween val="between"/>
        <c:majorUnit val="0.2"/>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sz="800"/>
      </a:pPr>
      <a:endParaRPr lang="en-US"/>
    </a:p>
  </c:txPr>
  <c:externalData r:id="rId4">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854698304795801E-2"/>
          <c:y val="6.1214672061020006E-2"/>
          <c:w val="0.89176490367002403"/>
          <c:h val="0.50358934760226792"/>
        </c:manualLayout>
      </c:layout>
      <c:barChart>
        <c:barDir val="col"/>
        <c:grouping val="clustered"/>
        <c:varyColors val="0"/>
        <c:ser>
          <c:idx val="0"/>
          <c:order val="0"/>
          <c:tx>
            <c:strRef>
              <c:f>ASC!$M$268</c:f>
              <c:strCache>
                <c:ptCount val="1"/>
                <c:pt idx="0">
                  <c:v>Croydon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ASC!$N$267:$U$267</c:f>
              <c:strCache>
                <c:ptCount val="8"/>
                <c:pt idx="0">
                  <c:v>Physical Support
Access and Mobility Only</c:v>
                </c:pt>
                <c:pt idx="1">
                  <c:v>Physical Support
Personal Care Support</c:v>
                </c:pt>
                <c:pt idx="2">
                  <c:v>Sensory Support
Support for Visual Impairment</c:v>
                </c:pt>
                <c:pt idx="3">
                  <c:v>Sensory Support
Support for Hearing Impairment</c:v>
                </c:pt>
                <c:pt idx="4">
                  <c:v>Support with Memory and Cognition
</c:v>
                </c:pt>
                <c:pt idx="5">
                  <c:v>Learning Disability Support
</c:v>
                </c:pt>
                <c:pt idx="6">
                  <c:v>Mental Health Support
</c:v>
                </c:pt>
                <c:pt idx="7">
                  <c:v>Social Support
Support for Social Isolation/Other</c:v>
                </c:pt>
              </c:strCache>
            </c:strRef>
          </c:cat>
          <c:val>
            <c:numRef>
              <c:f>ASC!$N$268:$U$268</c:f>
              <c:numCache>
                <c:formatCode>0.0%</c:formatCode>
                <c:ptCount val="8"/>
                <c:pt idx="0">
                  <c:v>0.10963455149501661</c:v>
                </c:pt>
                <c:pt idx="1">
                  <c:v>0.67109634551495012</c:v>
                </c:pt>
                <c:pt idx="2">
                  <c:v>1.1627906976744186E-2</c:v>
                </c:pt>
                <c:pt idx="3">
                  <c:v>1.8272425249169437E-2</c:v>
                </c:pt>
                <c:pt idx="4">
                  <c:v>3.8205980066445183E-2</c:v>
                </c:pt>
                <c:pt idx="5">
                  <c:v>4.1528239202657809E-2</c:v>
                </c:pt>
                <c:pt idx="6">
                  <c:v>9.4684385382059796E-2</c:v>
                </c:pt>
                <c:pt idx="7">
                  <c:v>1.3289036544850499E-2</c:v>
                </c:pt>
              </c:numCache>
            </c:numRef>
          </c:val>
        </c:ser>
        <c:dLbls>
          <c:showLegendKey val="0"/>
          <c:showVal val="0"/>
          <c:showCatName val="0"/>
          <c:showSerName val="0"/>
          <c:showPercent val="0"/>
          <c:showBubbleSize val="0"/>
        </c:dLbls>
        <c:gapWidth val="20"/>
        <c:axId val="632167912"/>
        <c:axId val="632175360"/>
      </c:barChart>
      <c:catAx>
        <c:axId val="6321679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632175360"/>
        <c:crosses val="autoZero"/>
        <c:auto val="1"/>
        <c:lblAlgn val="ctr"/>
        <c:lblOffset val="100"/>
        <c:noMultiLvlLbl val="0"/>
      </c:catAx>
      <c:valAx>
        <c:axId val="63217536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2167912"/>
        <c:crosses val="autoZero"/>
        <c:crossBetween val="between"/>
        <c:majorUnit val="0.2"/>
      </c:valAx>
      <c:spPr>
        <a:noFill/>
        <a:ln w="25400">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sz="800"/>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320882966552258"/>
          <c:y val="0.15328407224958948"/>
          <c:w val="0.82825434080355331"/>
          <c:h val="0.69751819815626481"/>
        </c:manualLayout>
      </c:layout>
      <c:barChart>
        <c:barDir val="col"/>
        <c:grouping val="clustered"/>
        <c:varyColors val="0"/>
        <c:ser>
          <c:idx val="0"/>
          <c:order val="0"/>
          <c:tx>
            <c:strRef>
              <c:f>Ch_Attainmt!$A$4</c:f>
              <c:strCache>
                <c:ptCount val="1"/>
                <c:pt idx="0">
                  <c:v>Croydon</c:v>
                </c:pt>
              </c:strCache>
            </c:strRef>
          </c:tx>
          <c:spPr>
            <a:solidFill>
              <a:srgbClr val="7030A0"/>
            </a:solidFill>
            <a:ln>
              <a:solidFill>
                <a:srgbClr val="0070C0"/>
              </a:solidFill>
            </a:ln>
            <a:effectLst/>
          </c:spPr>
          <c:invertIfNegative val="0"/>
          <c:dPt>
            <c:idx val="0"/>
            <c:invertIfNegative val="0"/>
            <c:bubble3D val="0"/>
            <c:spPr>
              <a:solidFill>
                <a:srgbClr val="0070C0"/>
              </a:solidFill>
              <a:ln>
                <a:solidFill>
                  <a:srgbClr val="0070C0"/>
                </a:solidFill>
              </a:ln>
              <a:effectLst/>
            </c:spPr>
          </c:dPt>
          <c:dPt>
            <c:idx val="1"/>
            <c:invertIfNegative val="0"/>
            <c:bubble3D val="0"/>
            <c:spPr>
              <a:solidFill>
                <a:srgbClr val="0070C0"/>
              </a:solidFill>
              <a:ln>
                <a:solidFill>
                  <a:srgbClr val="0070C0"/>
                </a:solidFill>
              </a:ln>
              <a:effectLst/>
            </c:spPr>
          </c:dPt>
          <c:dPt>
            <c:idx val="2"/>
            <c:invertIfNegative val="0"/>
            <c:bubble3D val="0"/>
            <c:spPr>
              <a:solidFill>
                <a:srgbClr val="0070C0"/>
              </a:solidFill>
              <a:ln>
                <a:solidFill>
                  <a:srgbClr val="0070C0"/>
                </a:solidFill>
              </a:ln>
              <a:effectLst/>
            </c:spPr>
          </c:dPt>
          <c:dPt>
            <c:idx val="3"/>
            <c:invertIfNegative val="0"/>
            <c:bubble3D val="0"/>
            <c:spPr>
              <a:solidFill>
                <a:srgbClr val="0070C0"/>
              </a:solidFill>
              <a:ln>
                <a:solidFill>
                  <a:srgbClr val="0070C0"/>
                </a:solidFill>
              </a:ln>
              <a:effectLst/>
            </c:spPr>
          </c:dPt>
          <c:dPt>
            <c:idx val="4"/>
            <c:invertIfNegative val="0"/>
            <c:bubble3D val="0"/>
            <c:spPr>
              <a:solidFill>
                <a:srgbClr val="0070C0"/>
              </a:solidFill>
              <a:ln>
                <a:solidFill>
                  <a:srgbClr val="0070C0"/>
                </a:solidFill>
              </a:ln>
              <a:effectLst/>
            </c:spPr>
          </c:dPt>
          <c:dLbls>
            <c:spPr>
              <a:noFill/>
              <a:ln>
                <a:noFill/>
              </a:ln>
              <a:effectLst/>
            </c:spPr>
            <c:txPr>
              <a:bodyPr rot="-5400000" spcFirstLastPara="1" vertOverflow="ellipsis" wrap="square" anchor="ctr" anchorCtr="1"/>
              <a:lstStyle/>
              <a:p>
                <a:pPr>
                  <a:defRPr sz="1200" b="0" i="0" u="none" strike="noStrike" kern="1200" baseline="0">
                    <a:ln>
                      <a:noFill/>
                    </a:ln>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Ch_Attainmt!$B$3:$F$3</c:f>
              <c:numCache>
                <c:formatCode>0</c:formatCode>
                <c:ptCount val="5"/>
                <c:pt idx="0">
                  <c:v>2014</c:v>
                </c:pt>
                <c:pt idx="1">
                  <c:v>2015</c:v>
                </c:pt>
                <c:pt idx="2">
                  <c:v>2016</c:v>
                </c:pt>
                <c:pt idx="3">
                  <c:v>2017</c:v>
                </c:pt>
                <c:pt idx="4">
                  <c:v>2018</c:v>
                </c:pt>
              </c:numCache>
            </c:numRef>
          </c:cat>
          <c:val>
            <c:numRef>
              <c:f>Ch_Attainmt!$B$4:$F$4</c:f>
              <c:numCache>
                <c:formatCode>General</c:formatCode>
                <c:ptCount val="5"/>
                <c:pt idx="0">
                  <c:v>56.5</c:v>
                </c:pt>
                <c:pt idx="1">
                  <c:v>64.7</c:v>
                </c:pt>
                <c:pt idx="2">
                  <c:v>70.400000000000006</c:v>
                </c:pt>
                <c:pt idx="3">
                  <c:v>73.400000000000006</c:v>
                </c:pt>
                <c:pt idx="4">
                  <c:v>73.8</c:v>
                </c:pt>
              </c:numCache>
            </c:numRef>
          </c:val>
        </c:ser>
        <c:ser>
          <c:idx val="1"/>
          <c:order val="1"/>
          <c:tx>
            <c:strRef>
              <c:f>Ch_Attainmt!$A$5</c:f>
              <c:strCache>
                <c:ptCount val="1"/>
                <c:pt idx="0">
                  <c:v>Outer London</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1200" b="0" i="0" u="none" strike="noStrike" kern="1200" baseline="0">
                    <a:ln>
                      <a:noFill/>
                    </a:ln>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Ch_Attainmt!$B$3:$F$3</c:f>
              <c:numCache>
                <c:formatCode>0</c:formatCode>
                <c:ptCount val="5"/>
                <c:pt idx="0">
                  <c:v>2014</c:v>
                </c:pt>
                <c:pt idx="1">
                  <c:v>2015</c:v>
                </c:pt>
                <c:pt idx="2">
                  <c:v>2016</c:v>
                </c:pt>
                <c:pt idx="3">
                  <c:v>2017</c:v>
                </c:pt>
                <c:pt idx="4">
                  <c:v>2018</c:v>
                </c:pt>
              </c:numCache>
            </c:numRef>
          </c:cat>
          <c:val>
            <c:numRef>
              <c:f>Ch_Attainmt!$B$5:$F$5</c:f>
              <c:numCache>
                <c:formatCode>General</c:formatCode>
                <c:ptCount val="5"/>
                <c:pt idx="0">
                  <c:v>62.2</c:v>
                </c:pt>
                <c:pt idx="1">
                  <c:v>68.3</c:v>
                </c:pt>
                <c:pt idx="2">
                  <c:v>71.5</c:v>
                </c:pt>
                <c:pt idx="3">
                  <c:v>73.2</c:v>
                </c:pt>
                <c:pt idx="4">
                  <c:v>73.8</c:v>
                </c:pt>
              </c:numCache>
            </c:numRef>
          </c:val>
        </c:ser>
        <c:ser>
          <c:idx val="2"/>
          <c:order val="2"/>
          <c:tx>
            <c:strRef>
              <c:f>Ch_Attainmt!$A$6</c:f>
              <c:strCache>
                <c:ptCount val="1"/>
                <c:pt idx="0">
                  <c:v>England</c:v>
                </c:pt>
              </c:strCache>
            </c:strRef>
          </c:tx>
          <c:spPr>
            <a:solidFill>
              <a:schemeClr val="accent3"/>
            </a:solidFill>
            <a:ln>
              <a:noFill/>
            </a:ln>
            <a:effectLst/>
          </c:spPr>
          <c:invertIfNegative val="0"/>
          <c:dLbls>
            <c:spPr>
              <a:noFill/>
              <a:ln>
                <a:noFill/>
              </a:ln>
              <a:effectLst/>
            </c:spPr>
            <c:txPr>
              <a:bodyPr rot="-5400000" spcFirstLastPara="1" vertOverflow="ellipsis" wrap="square" anchor="ctr" anchorCtr="1"/>
              <a:lstStyle/>
              <a:p>
                <a:pPr>
                  <a:defRPr sz="1200" b="0" i="0" u="none" strike="noStrike" kern="1200" baseline="0">
                    <a:ln>
                      <a:noFill/>
                    </a:ln>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Ch_Attainmt!$B$3:$F$3</c:f>
              <c:numCache>
                <c:formatCode>0</c:formatCode>
                <c:ptCount val="5"/>
                <c:pt idx="0">
                  <c:v>2014</c:v>
                </c:pt>
                <c:pt idx="1">
                  <c:v>2015</c:v>
                </c:pt>
                <c:pt idx="2">
                  <c:v>2016</c:v>
                </c:pt>
                <c:pt idx="3">
                  <c:v>2017</c:v>
                </c:pt>
                <c:pt idx="4">
                  <c:v>2018</c:v>
                </c:pt>
              </c:numCache>
            </c:numRef>
          </c:cat>
          <c:val>
            <c:numRef>
              <c:f>Ch_Attainmt!$B$6:$F$6</c:f>
              <c:numCache>
                <c:formatCode>General</c:formatCode>
                <c:ptCount val="5"/>
                <c:pt idx="0">
                  <c:v>60.4</c:v>
                </c:pt>
                <c:pt idx="1">
                  <c:v>66.3</c:v>
                </c:pt>
                <c:pt idx="2">
                  <c:v>69.3</c:v>
                </c:pt>
                <c:pt idx="3">
                  <c:v>70.7</c:v>
                </c:pt>
                <c:pt idx="4">
                  <c:v>71.5</c:v>
                </c:pt>
              </c:numCache>
            </c:numRef>
          </c:val>
        </c:ser>
        <c:dLbls>
          <c:showLegendKey val="0"/>
          <c:showVal val="0"/>
          <c:showCatName val="0"/>
          <c:showSerName val="0"/>
          <c:showPercent val="0"/>
          <c:showBubbleSize val="0"/>
        </c:dLbls>
        <c:gapWidth val="99"/>
        <c:overlap val="3"/>
        <c:axId val="430363016"/>
        <c:axId val="430361056"/>
      </c:barChart>
      <c:catAx>
        <c:axId val="430363016"/>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ln>
                  <a:noFill/>
                </a:ln>
                <a:solidFill>
                  <a:schemeClr val="tx1">
                    <a:lumMod val="65000"/>
                    <a:lumOff val="35000"/>
                  </a:schemeClr>
                </a:solidFill>
                <a:latin typeface="+mn-lt"/>
                <a:ea typeface="+mn-ea"/>
                <a:cs typeface="+mn-cs"/>
              </a:defRPr>
            </a:pPr>
            <a:endParaRPr lang="en-US"/>
          </a:p>
        </c:txPr>
        <c:crossAx val="430361056"/>
        <c:crosses val="autoZero"/>
        <c:auto val="1"/>
        <c:lblAlgn val="ctr"/>
        <c:lblOffset val="100"/>
        <c:noMultiLvlLbl val="0"/>
      </c:catAx>
      <c:valAx>
        <c:axId val="43036105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ln>
                  <a:noFill/>
                </a:ln>
                <a:solidFill>
                  <a:schemeClr val="tx1">
                    <a:lumMod val="65000"/>
                    <a:lumOff val="35000"/>
                  </a:schemeClr>
                </a:solidFill>
                <a:latin typeface="+mn-lt"/>
                <a:ea typeface="+mn-ea"/>
                <a:cs typeface="+mn-cs"/>
              </a:defRPr>
            </a:pPr>
            <a:endParaRPr lang="en-US"/>
          </a:p>
        </c:txPr>
        <c:crossAx val="430363016"/>
        <c:crosses val="autoZero"/>
        <c:crossBetween val="between"/>
        <c:majorUnit val="20"/>
      </c:valAx>
      <c:spPr>
        <a:noFill/>
        <a:ln>
          <a:noFill/>
        </a:ln>
        <a:effectLst/>
      </c:spPr>
    </c:plotArea>
    <c:legend>
      <c:legendPos val="b"/>
      <c:layout>
        <c:manualLayout>
          <c:xMode val="edge"/>
          <c:yMode val="edge"/>
          <c:x val="0.19379135343931064"/>
          <c:y val="3.7615141494784156E-2"/>
          <c:w val="0.66728961521319274"/>
          <c:h val="7.9528655205802296E-2"/>
        </c:manualLayout>
      </c:layout>
      <c:overlay val="0"/>
      <c:spPr>
        <a:noFill/>
        <a:ln>
          <a:noFill/>
        </a:ln>
        <a:effectLst/>
      </c:spPr>
      <c:txPr>
        <a:bodyPr rot="0" spcFirstLastPara="1" vertOverflow="ellipsis" vert="horz" wrap="square" anchor="ctr" anchorCtr="1"/>
        <a:lstStyle/>
        <a:p>
          <a:pPr>
            <a:defRPr sz="1200" b="0" i="0" u="none" strike="noStrike" kern="1200" baseline="0">
              <a:ln>
                <a:noFill/>
              </a:ln>
              <a:solidFill>
                <a:schemeClr val="tx1">
                  <a:lumMod val="65000"/>
                  <a:lumOff val="35000"/>
                </a:schemeClr>
              </a:solidFill>
              <a:latin typeface="+mn-lt"/>
              <a:ea typeface="+mn-ea"/>
              <a:cs typeface="+mn-cs"/>
            </a:defRPr>
          </a:pPr>
          <a:endParaRPr lang="en-US"/>
        </a:p>
      </c:txPr>
    </c:legend>
    <c:plotVisOnly val="1"/>
    <c:dispBlanksAs val="gap"/>
    <c:showDLblsOverMax val="0"/>
  </c:chart>
  <c:spPr>
    <a:noFill/>
    <a:ln w="9525" cap="flat" cmpd="sng" algn="ctr">
      <a:solidFill>
        <a:sysClr val="windowText" lastClr="000000"/>
      </a:solidFill>
      <a:round/>
    </a:ln>
    <a:effectLst/>
  </c:spPr>
  <c:txPr>
    <a:bodyPr/>
    <a:lstStyle/>
    <a:p>
      <a:pPr>
        <a:defRPr sz="1200">
          <a:ln>
            <a:noFill/>
          </a:ln>
        </a:defRPr>
      </a:pPr>
      <a:endParaRPr lang="en-US"/>
    </a:p>
  </c:txPr>
  <c:externalData r:id="rId4">
    <c:autoUpdate val="0"/>
  </c:externalData>
  <c:userShapes r:id="rId5"/>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192825896762904"/>
          <c:y val="3.7037037037037035E-2"/>
          <c:w val="0.82240095082454312"/>
          <c:h val="0.75798447069116359"/>
        </c:manualLayout>
      </c:layout>
      <c:lineChart>
        <c:grouping val="standard"/>
        <c:varyColors val="0"/>
        <c:ser>
          <c:idx val="0"/>
          <c:order val="0"/>
          <c:tx>
            <c:strRef>
              <c:f>'Crime Rates'!$B$48</c:f>
              <c:strCache>
                <c:ptCount val="1"/>
                <c:pt idx="0">
                  <c:v>Croydon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'Crime Rates'!$K$40:$T$40</c:f>
              <c:strCache>
                <c:ptCount val="10"/>
                <c:pt idx="0">
                  <c:v>2007-08</c:v>
                </c:pt>
                <c:pt idx="1">
                  <c:v>2008-09</c:v>
                </c:pt>
                <c:pt idx="2">
                  <c:v>2009-10</c:v>
                </c:pt>
                <c:pt idx="3">
                  <c:v>2010-11</c:v>
                </c:pt>
                <c:pt idx="4">
                  <c:v>2011-12</c:v>
                </c:pt>
                <c:pt idx="5">
                  <c:v>2012-13</c:v>
                </c:pt>
                <c:pt idx="6">
                  <c:v>2013-14</c:v>
                </c:pt>
                <c:pt idx="7">
                  <c:v>2014-15</c:v>
                </c:pt>
                <c:pt idx="8">
                  <c:v>2015-16</c:v>
                </c:pt>
                <c:pt idx="9">
                  <c:v>2016-17</c:v>
                </c:pt>
              </c:strCache>
            </c:strRef>
          </c:cat>
          <c:val>
            <c:numRef>
              <c:f>'Crime Rates'!$K$48:$T$48</c:f>
              <c:numCache>
                <c:formatCode>#,##0</c:formatCode>
                <c:ptCount val="10"/>
                <c:pt idx="0">
                  <c:v>30587</c:v>
                </c:pt>
                <c:pt idx="1">
                  <c:v>32789</c:v>
                </c:pt>
                <c:pt idx="2">
                  <c:v>33210</c:v>
                </c:pt>
                <c:pt idx="3">
                  <c:v>32292</c:v>
                </c:pt>
                <c:pt idx="4">
                  <c:v>32775</c:v>
                </c:pt>
                <c:pt idx="5">
                  <c:v>31109</c:v>
                </c:pt>
                <c:pt idx="6">
                  <c:v>28202</c:v>
                </c:pt>
                <c:pt idx="7">
                  <c:v>28804</c:v>
                </c:pt>
                <c:pt idx="8">
                  <c:v>28951</c:v>
                </c:pt>
                <c:pt idx="9">
                  <c:v>25777</c:v>
                </c:pt>
              </c:numCache>
            </c:numRef>
          </c:val>
          <c:smooth val="0"/>
        </c:ser>
        <c:dLbls>
          <c:showLegendKey val="0"/>
          <c:showVal val="0"/>
          <c:showCatName val="0"/>
          <c:showSerName val="0"/>
          <c:showPercent val="0"/>
          <c:showBubbleSize val="0"/>
        </c:dLbls>
        <c:marker val="1"/>
        <c:smooth val="0"/>
        <c:axId val="632169088"/>
        <c:axId val="632169480"/>
      </c:lineChart>
      <c:catAx>
        <c:axId val="632169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2169480"/>
        <c:crosses val="autoZero"/>
        <c:auto val="1"/>
        <c:lblAlgn val="ctr"/>
        <c:lblOffset val="100"/>
        <c:noMultiLvlLbl val="0"/>
      </c:catAx>
      <c:valAx>
        <c:axId val="632169480"/>
        <c:scaling>
          <c:orientation val="minMax"/>
          <c:max val="50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32169088"/>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TNO!$C$5</c:f>
              <c:strCache>
                <c:ptCount val="1"/>
                <c:pt idx="0">
                  <c:v>Oct-18</c:v>
                </c:pt>
              </c:strCache>
            </c:strRef>
          </c:tx>
          <c:spPr>
            <a:solidFill>
              <a:schemeClr val="accent1"/>
            </a:solidFill>
            <a:ln>
              <a:noFill/>
            </a:ln>
            <a:effectLst/>
          </c:spPr>
          <c:invertIfNegative val="0"/>
          <c:dPt>
            <c:idx val="10"/>
            <c:invertIfNegative val="0"/>
            <c:bubble3D val="0"/>
            <c:spPr>
              <a:solidFill>
                <a:srgbClr val="7030A0"/>
              </a:solidFill>
              <a:ln>
                <a:noFill/>
              </a:ln>
              <a:effectLst/>
            </c:spPr>
          </c:dPt>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TNO!$B$7:$B$38</c:f>
              <c:strCache>
                <c:ptCount val="32"/>
                <c:pt idx="0">
                  <c:v>Harrow</c:v>
                </c:pt>
                <c:pt idx="1">
                  <c:v>Sutton</c:v>
                </c:pt>
                <c:pt idx="2">
                  <c:v>Bexley</c:v>
                </c:pt>
                <c:pt idx="3">
                  <c:v>Richmond upon Thames</c:v>
                </c:pt>
                <c:pt idx="4">
                  <c:v>Merton</c:v>
                </c:pt>
                <c:pt idx="5">
                  <c:v>Kingston upon Thames</c:v>
                </c:pt>
                <c:pt idx="6">
                  <c:v>Bromley</c:v>
                </c:pt>
                <c:pt idx="7">
                  <c:v>Barnet</c:v>
                </c:pt>
                <c:pt idx="8">
                  <c:v>Havering</c:v>
                </c:pt>
                <c:pt idx="9">
                  <c:v>Redbridge</c:v>
                </c:pt>
                <c:pt idx="10">
                  <c:v>Croydon</c:v>
                </c:pt>
                <c:pt idx="11">
                  <c:v>Ealing</c:v>
                </c:pt>
                <c:pt idx="12">
                  <c:v>Enfield</c:v>
                </c:pt>
                <c:pt idx="13">
                  <c:v>Wandsworth</c:v>
                </c:pt>
                <c:pt idx="14">
                  <c:v>Hillingdon</c:v>
                </c:pt>
                <c:pt idx="15">
                  <c:v>Lewisham</c:v>
                </c:pt>
                <c:pt idx="16">
                  <c:v>Waltham Forest</c:v>
                </c:pt>
                <c:pt idx="17">
                  <c:v>Barking and Dagenham</c:v>
                </c:pt>
                <c:pt idx="18">
                  <c:v>Greenwich</c:v>
                </c:pt>
                <c:pt idx="19">
                  <c:v>Hounslow</c:v>
                </c:pt>
                <c:pt idx="20">
                  <c:v>Brent</c:v>
                </c:pt>
                <c:pt idx="21">
                  <c:v>Newham</c:v>
                </c:pt>
                <c:pt idx="22">
                  <c:v>Lambeth</c:v>
                </c:pt>
                <c:pt idx="23">
                  <c:v>Tower Hamlets</c:v>
                </c:pt>
                <c:pt idx="24">
                  <c:v>Hackney</c:v>
                </c:pt>
                <c:pt idx="25">
                  <c:v>Haringey</c:v>
                </c:pt>
                <c:pt idx="26">
                  <c:v>Southwark</c:v>
                </c:pt>
                <c:pt idx="27">
                  <c:v>Hammersmith and Fulham</c:v>
                </c:pt>
                <c:pt idx="28">
                  <c:v>Islington</c:v>
                </c:pt>
                <c:pt idx="29">
                  <c:v>Kensington and Chelsea</c:v>
                </c:pt>
                <c:pt idx="30">
                  <c:v>Camden</c:v>
                </c:pt>
                <c:pt idx="31">
                  <c:v>Westminster</c:v>
                </c:pt>
              </c:strCache>
            </c:strRef>
          </c:cat>
          <c:val>
            <c:numRef>
              <c:f>TNO!$C$7:$C$38</c:f>
              <c:numCache>
                <c:formatCode>General</c:formatCode>
                <c:ptCount val="32"/>
                <c:pt idx="0">
                  <c:v>57</c:v>
                </c:pt>
                <c:pt idx="1">
                  <c:v>59</c:v>
                </c:pt>
                <c:pt idx="2">
                  <c:v>62</c:v>
                </c:pt>
                <c:pt idx="3">
                  <c:v>64</c:v>
                </c:pt>
                <c:pt idx="4">
                  <c:v>66</c:v>
                </c:pt>
                <c:pt idx="5">
                  <c:v>69</c:v>
                </c:pt>
                <c:pt idx="6">
                  <c:v>70</c:v>
                </c:pt>
                <c:pt idx="7">
                  <c:v>72</c:v>
                </c:pt>
                <c:pt idx="8">
                  <c:v>75</c:v>
                </c:pt>
                <c:pt idx="9">
                  <c:v>78</c:v>
                </c:pt>
                <c:pt idx="10">
                  <c:v>80</c:v>
                </c:pt>
                <c:pt idx="11">
                  <c:v>81</c:v>
                </c:pt>
                <c:pt idx="12">
                  <c:v>82</c:v>
                </c:pt>
                <c:pt idx="13">
                  <c:v>82</c:v>
                </c:pt>
                <c:pt idx="14">
                  <c:v>83</c:v>
                </c:pt>
                <c:pt idx="15">
                  <c:v>85</c:v>
                </c:pt>
                <c:pt idx="16">
                  <c:v>85</c:v>
                </c:pt>
                <c:pt idx="17">
                  <c:v>88</c:v>
                </c:pt>
                <c:pt idx="18">
                  <c:v>91</c:v>
                </c:pt>
                <c:pt idx="19">
                  <c:v>92</c:v>
                </c:pt>
                <c:pt idx="20">
                  <c:v>94</c:v>
                </c:pt>
                <c:pt idx="21">
                  <c:v>106</c:v>
                </c:pt>
                <c:pt idx="22">
                  <c:v>107</c:v>
                </c:pt>
                <c:pt idx="23">
                  <c:v>111</c:v>
                </c:pt>
                <c:pt idx="24">
                  <c:v>112</c:v>
                </c:pt>
                <c:pt idx="25">
                  <c:v>112</c:v>
                </c:pt>
                <c:pt idx="26">
                  <c:v>113</c:v>
                </c:pt>
                <c:pt idx="27">
                  <c:v>121</c:v>
                </c:pt>
                <c:pt idx="28">
                  <c:v>128</c:v>
                </c:pt>
                <c:pt idx="29">
                  <c:v>137</c:v>
                </c:pt>
                <c:pt idx="30">
                  <c:v>151</c:v>
                </c:pt>
                <c:pt idx="31">
                  <c:v>249</c:v>
                </c:pt>
              </c:numCache>
            </c:numRef>
          </c:val>
        </c:ser>
        <c:dLbls>
          <c:showLegendKey val="0"/>
          <c:showVal val="0"/>
          <c:showCatName val="0"/>
          <c:showSerName val="0"/>
          <c:showPercent val="0"/>
          <c:showBubbleSize val="0"/>
        </c:dLbls>
        <c:gapWidth val="27"/>
        <c:axId val="940870296"/>
        <c:axId val="940869512"/>
      </c:barChart>
      <c:catAx>
        <c:axId val="940870296"/>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mn-lt"/>
                <a:ea typeface="+mn-ea"/>
                <a:cs typeface="+mn-cs"/>
              </a:defRPr>
            </a:pPr>
            <a:endParaRPr lang="en-US"/>
          </a:p>
        </c:txPr>
        <c:crossAx val="940869512"/>
        <c:crosses val="autoZero"/>
        <c:auto val="1"/>
        <c:lblAlgn val="ctr"/>
        <c:lblOffset val="100"/>
        <c:noMultiLvlLbl val="0"/>
      </c:catAx>
      <c:valAx>
        <c:axId val="9408695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870296"/>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672994944019727"/>
          <c:y val="0.15388968322693677"/>
          <c:w val="0.84620472305684402"/>
          <c:h val="0.65802807257788432"/>
        </c:manualLayout>
      </c:layout>
      <c:barChart>
        <c:barDir val="col"/>
        <c:grouping val="clustered"/>
        <c:varyColors val="0"/>
        <c:ser>
          <c:idx val="0"/>
          <c:order val="0"/>
          <c:tx>
            <c:strRef>
              <c:f>'MOPAC7(new)'!$A$66</c:f>
              <c:strCache>
                <c:ptCount val="1"/>
                <c:pt idx="0">
                  <c:v>Actual </c:v>
                </c:pt>
              </c:strCache>
            </c:strRef>
          </c:tx>
          <c:invertIfNegative val="0"/>
          <c:cat>
            <c:strRef>
              <c:f>'MOPAC7(new)'!$B$65:$M$65</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'MOPAC7(new)'!$B$66:$M$66</c:f>
              <c:numCache>
                <c:formatCode>#,##0</c:formatCode>
                <c:ptCount val="12"/>
                <c:pt idx="0">
                  <c:v>2045</c:v>
                </c:pt>
                <c:pt idx="1">
                  <c:v>2057</c:v>
                </c:pt>
                <c:pt idx="2">
                  <c:v>2052</c:v>
                </c:pt>
                <c:pt idx="3">
                  <c:v>2136</c:v>
                </c:pt>
                <c:pt idx="4">
                  <c:v>2197</c:v>
                </c:pt>
                <c:pt idx="5">
                  <c:v>2286</c:v>
                </c:pt>
                <c:pt idx="6">
                  <c:v>2390</c:v>
                </c:pt>
              </c:numCache>
            </c:numRef>
          </c:val>
        </c:ser>
        <c:dLbls>
          <c:showLegendKey val="0"/>
          <c:showVal val="0"/>
          <c:showCatName val="0"/>
          <c:showSerName val="0"/>
          <c:showPercent val="0"/>
          <c:showBubbleSize val="0"/>
        </c:dLbls>
        <c:gapWidth val="50"/>
        <c:axId val="940871472"/>
        <c:axId val="940866768"/>
      </c:barChart>
      <c:lineChart>
        <c:grouping val="standard"/>
        <c:varyColors val="0"/>
        <c:ser>
          <c:idx val="1"/>
          <c:order val="1"/>
          <c:tx>
            <c:strRef>
              <c:f>'MOPAC7(new)'!$A$67</c:f>
              <c:strCache>
                <c:ptCount val="1"/>
                <c:pt idx="0">
                  <c:v>Target</c:v>
                </c:pt>
              </c:strCache>
            </c:strRef>
          </c:tx>
          <c:spPr>
            <a:ln w="34925">
              <a:solidFill>
                <a:srgbClr val="FF0000"/>
              </a:solidFill>
            </a:ln>
          </c:spPr>
          <c:marker>
            <c:symbol val="none"/>
          </c:marker>
          <c:cat>
            <c:strRef>
              <c:f>'MOPAC7(new)'!$B$65:$M$65</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'MOPAC7(new)'!$B$67:$M$67</c:f>
              <c:numCache>
                <c:formatCode>#,##0</c:formatCode>
                <c:ptCount val="12"/>
                <c:pt idx="0">
                  <c:v>1986</c:v>
                </c:pt>
                <c:pt idx="1">
                  <c:v>1986</c:v>
                </c:pt>
                <c:pt idx="2">
                  <c:v>1986</c:v>
                </c:pt>
                <c:pt idx="3">
                  <c:v>1986</c:v>
                </c:pt>
                <c:pt idx="4">
                  <c:v>1986</c:v>
                </c:pt>
                <c:pt idx="5">
                  <c:v>1986</c:v>
                </c:pt>
                <c:pt idx="6">
                  <c:v>1986</c:v>
                </c:pt>
                <c:pt idx="7">
                  <c:v>1986</c:v>
                </c:pt>
                <c:pt idx="8">
                  <c:v>1986</c:v>
                </c:pt>
                <c:pt idx="9">
                  <c:v>1986</c:v>
                </c:pt>
                <c:pt idx="10">
                  <c:v>1986</c:v>
                </c:pt>
                <c:pt idx="11">
                  <c:v>1986</c:v>
                </c:pt>
              </c:numCache>
            </c:numRef>
          </c:val>
          <c:smooth val="0"/>
        </c:ser>
        <c:ser>
          <c:idx val="2"/>
          <c:order val="2"/>
          <c:tx>
            <c:strRef>
              <c:f>'MOPAC7(new)'!$A$68</c:f>
              <c:strCache>
                <c:ptCount val="1"/>
                <c:pt idx="0">
                  <c:v>Actual 1 year ago </c:v>
                </c:pt>
              </c:strCache>
            </c:strRef>
          </c:tx>
          <c:spPr>
            <a:ln w="34925">
              <a:solidFill>
                <a:srgbClr val="92D050"/>
              </a:solidFill>
            </a:ln>
          </c:spPr>
          <c:marker>
            <c:symbol val="none"/>
          </c:marker>
          <c:cat>
            <c:strRef>
              <c:f>'MOPAC7(new)'!$B$65:$M$65</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'MOPAC7(new)'!$B$68:$M$68</c:f>
              <c:numCache>
                <c:formatCode>#,##0</c:formatCode>
                <c:ptCount val="12"/>
                <c:pt idx="0">
                  <c:v>1954</c:v>
                </c:pt>
                <c:pt idx="1">
                  <c:v>1963</c:v>
                </c:pt>
                <c:pt idx="2">
                  <c:v>1943</c:v>
                </c:pt>
                <c:pt idx="3">
                  <c:v>1921</c:v>
                </c:pt>
                <c:pt idx="4">
                  <c:v>1939</c:v>
                </c:pt>
                <c:pt idx="5">
                  <c:v>1947</c:v>
                </c:pt>
                <c:pt idx="6">
                  <c:v>1963</c:v>
                </c:pt>
                <c:pt idx="7">
                  <c:v>2005</c:v>
                </c:pt>
                <c:pt idx="8">
                  <c:v>2005</c:v>
                </c:pt>
                <c:pt idx="9">
                  <c:v>2063</c:v>
                </c:pt>
                <c:pt idx="10">
                  <c:v>2078</c:v>
                </c:pt>
                <c:pt idx="11">
                  <c:v>2055</c:v>
                </c:pt>
              </c:numCache>
            </c:numRef>
          </c:val>
          <c:smooth val="0"/>
        </c:ser>
        <c:dLbls>
          <c:showLegendKey val="0"/>
          <c:showVal val="0"/>
          <c:showCatName val="0"/>
          <c:showSerName val="0"/>
          <c:showPercent val="0"/>
          <c:showBubbleSize val="0"/>
        </c:dLbls>
        <c:marker val="1"/>
        <c:smooth val="0"/>
        <c:axId val="940871472"/>
        <c:axId val="940866768"/>
      </c:lineChart>
      <c:catAx>
        <c:axId val="940871472"/>
        <c:scaling>
          <c:orientation val="minMax"/>
        </c:scaling>
        <c:delete val="0"/>
        <c:axPos val="b"/>
        <c:numFmt formatCode="General" sourceLinked="1"/>
        <c:majorTickMark val="out"/>
        <c:minorTickMark val="none"/>
        <c:tickLblPos val="nextTo"/>
        <c:crossAx val="940866768"/>
        <c:crosses val="autoZero"/>
        <c:auto val="1"/>
        <c:lblAlgn val="ctr"/>
        <c:lblOffset val="100"/>
        <c:noMultiLvlLbl val="1"/>
      </c:catAx>
      <c:valAx>
        <c:axId val="940866768"/>
        <c:scaling>
          <c:orientation val="minMax"/>
          <c:max val="3000"/>
          <c:min val="0"/>
        </c:scaling>
        <c:delete val="0"/>
        <c:axPos val="l"/>
        <c:majorGridlines/>
        <c:numFmt formatCode="#,##0" sourceLinked="1"/>
        <c:majorTickMark val="out"/>
        <c:minorTickMark val="none"/>
        <c:tickLblPos val="nextTo"/>
        <c:crossAx val="940871472"/>
        <c:crosses val="autoZero"/>
        <c:crossBetween val="between"/>
        <c:majorUnit val="500"/>
      </c:valAx>
    </c:plotArea>
    <c:legend>
      <c:legendPos val="b"/>
      <c:layout>
        <c:manualLayout>
          <c:xMode val="edge"/>
          <c:yMode val="edge"/>
          <c:x val="0.17856223381330957"/>
          <c:y val="3.6304717025461335E-2"/>
          <c:w val="0.72593199267271979"/>
          <c:h val="7.2817192607957243E-2"/>
        </c:manualLayout>
      </c:layout>
      <c:overlay val="0"/>
    </c:legend>
    <c:plotVisOnly val="1"/>
    <c:dispBlanksAs val="gap"/>
    <c:showDLblsOverMax val="0"/>
  </c:chart>
  <c:spPr>
    <a:ln>
      <a:solidFill>
        <a:sysClr val="windowText" lastClr="000000"/>
      </a:solidFill>
    </a:ln>
  </c:spPr>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503559547013117"/>
          <c:y val="0.17093998160715845"/>
          <c:w val="0.85451036908677791"/>
          <c:h val="0.61190233512235559"/>
        </c:manualLayout>
      </c:layout>
      <c:barChart>
        <c:barDir val="col"/>
        <c:grouping val="clustered"/>
        <c:varyColors val="0"/>
        <c:ser>
          <c:idx val="0"/>
          <c:order val="0"/>
          <c:tx>
            <c:strRef>
              <c:f>'MOPAC7(new)'!$A$107</c:f>
              <c:strCache>
                <c:ptCount val="1"/>
                <c:pt idx="0">
                  <c:v>Actual </c:v>
                </c:pt>
              </c:strCache>
            </c:strRef>
          </c:tx>
          <c:invertIfNegative val="0"/>
          <c:cat>
            <c:strRef>
              <c:f>'MOPAC7(new)'!$B$106:$M$106</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'MOPAC7(new)'!$B$107:$M$107</c:f>
              <c:numCache>
                <c:formatCode>#,##0</c:formatCode>
                <c:ptCount val="12"/>
                <c:pt idx="0">
                  <c:v>1100</c:v>
                </c:pt>
                <c:pt idx="1">
                  <c:v>1116</c:v>
                </c:pt>
                <c:pt idx="2">
                  <c:v>1116</c:v>
                </c:pt>
                <c:pt idx="3">
                  <c:v>1103</c:v>
                </c:pt>
                <c:pt idx="4">
                  <c:v>1128</c:v>
                </c:pt>
                <c:pt idx="5">
                  <c:v>1110</c:v>
                </c:pt>
                <c:pt idx="6">
                  <c:v>1154</c:v>
                </c:pt>
              </c:numCache>
            </c:numRef>
          </c:val>
        </c:ser>
        <c:dLbls>
          <c:showLegendKey val="0"/>
          <c:showVal val="0"/>
          <c:showCatName val="0"/>
          <c:showSerName val="0"/>
          <c:showPercent val="0"/>
          <c:showBubbleSize val="0"/>
        </c:dLbls>
        <c:gapWidth val="50"/>
        <c:axId val="940872256"/>
        <c:axId val="940872648"/>
      </c:barChart>
      <c:lineChart>
        <c:grouping val="standard"/>
        <c:varyColors val="0"/>
        <c:ser>
          <c:idx val="1"/>
          <c:order val="1"/>
          <c:tx>
            <c:strRef>
              <c:f>'MOPAC7(new)'!$A$108</c:f>
              <c:strCache>
                <c:ptCount val="1"/>
                <c:pt idx="0">
                  <c:v>Target</c:v>
                </c:pt>
              </c:strCache>
            </c:strRef>
          </c:tx>
          <c:spPr>
            <a:ln w="34925">
              <a:solidFill>
                <a:srgbClr val="FF0000"/>
              </a:solidFill>
            </a:ln>
          </c:spPr>
          <c:marker>
            <c:symbol val="none"/>
          </c:marker>
          <c:cat>
            <c:strRef>
              <c:f>'MOPAC7(new)'!$B$106:$M$106</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'MOPAC7(new)'!$B$108:$M$108</c:f>
              <c:numCache>
                <c:formatCode>#,##0</c:formatCode>
                <c:ptCount val="12"/>
                <c:pt idx="0">
                  <c:v>1088</c:v>
                </c:pt>
                <c:pt idx="1">
                  <c:v>1088</c:v>
                </c:pt>
                <c:pt idx="2">
                  <c:v>1088</c:v>
                </c:pt>
                <c:pt idx="3">
                  <c:v>1088</c:v>
                </c:pt>
                <c:pt idx="4">
                  <c:v>1088</c:v>
                </c:pt>
                <c:pt idx="5">
                  <c:v>1088</c:v>
                </c:pt>
                <c:pt idx="6">
                  <c:v>1088</c:v>
                </c:pt>
                <c:pt idx="7">
                  <c:v>1088</c:v>
                </c:pt>
                <c:pt idx="8">
                  <c:v>1088</c:v>
                </c:pt>
                <c:pt idx="9">
                  <c:v>1088</c:v>
                </c:pt>
                <c:pt idx="10">
                  <c:v>1088</c:v>
                </c:pt>
                <c:pt idx="11">
                  <c:v>1088</c:v>
                </c:pt>
              </c:numCache>
            </c:numRef>
          </c:val>
          <c:smooth val="0"/>
        </c:ser>
        <c:ser>
          <c:idx val="2"/>
          <c:order val="2"/>
          <c:tx>
            <c:strRef>
              <c:f>'MOPAC7(new)'!$A$109</c:f>
              <c:strCache>
                <c:ptCount val="1"/>
                <c:pt idx="0">
                  <c:v>Actual 1 year ago </c:v>
                </c:pt>
              </c:strCache>
            </c:strRef>
          </c:tx>
          <c:spPr>
            <a:ln w="34925">
              <a:solidFill>
                <a:srgbClr val="92D050"/>
              </a:solidFill>
            </a:ln>
          </c:spPr>
          <c:marker>
            <c:symbol val="none"/>
          </c:marker>
          <c:cat>
            <c:strRef>
              <c:f>'MOPAC7(new)'!$B$106:$M$106</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'MOPAC7(new)'!$B$109:$M$109</c:f>
              <c:numCache>
                <c:formatCode>#,##0</c:formatCode>
                <c:ptCount val="12"/>
                <c:pt idx="0">
                  <c:v>1140</c:v>
                </c:pt>
                <c:pt idx="1">
                  <c:v>1109</c:v>
                </c:pt>
                <c:pt idx="2">
                  <c:v>1083</c:v>
                </c:pt>
                <c:pt idx="3">
                  <c:v>1068</c:v>
                </c:pt>
                <c:pt idx="4">
                  <c:v>1057</c:v>
                </c:pt>
                <c:pt idx="5">
                  <c:v>1064</c:v>
                </c:pt>
                <c:pt idx="6">
                  <c:v>1058</c:v>
                </c:pt>
                <c:pt idx="7">
                  <c:v>1054</c:v>
                </c:pt>
                <c:pt idx="8">
                  <c:v>1082</c:v>
                </c:pt>
                <c:pt idx="9">
                  <c:v>1109</c:v>
                </c:pt>
                <c:pt idx="10">
                  <c:v>1119</c:v>
                </c:pt>
                <c:pt idx="11">
                  <c:v>1113</c:v>
                </c:pt>
              </c:numCache>
            </c:numRef>
          </c:val>
          <c:smooth val="0"/>
        </c:ser>
        <c:dLbls>
          <c:showLegendKey val="0"/>
          <c:showVal val="0"/>
          <c:showCatName val="0"/>
          <c:showSerName val="0"/>
          <c:showPercent val="0"/>
          <c:showBubbleSize val="0"/>
        </c:dLbls>
        <c:marker val="1"/>
        <c:smooth val="0"/>
        <c:axId val="940872256"/>
        <c:axId val="940872648"/>
      </c:lineChart>
      <c:catAx>
        <c:axId val="940872256"/>
        <c:scaling>
          <c:orientation val="minMax"/>
        </c:scaling>
        <c:delete val="0"/>
        <c:axPos val="b"/>
        <c:numFmt formatCode="General" sourceLinked="1"/>
        <c:majorTickMark val="out"/>
        <c:minorTickMark val="none"/>
        <c:tickLblPos val="nextTo"/>
        <c:crossAx val="940872648"/>
        <c:crosses val="autoZero"/>
        <c:auto val="1"/>
        <c:lblAlgn val="ctr"/>
        <c:lblOffset val="100"/>
        <c:noMultiLvlLbl val="1"/>
      </c:catAx>
      <c:valAx>
        <c:axId val="940872648"/>
        <c:scaling>
          <c:orientation val="minMax"/>
          <c:max val="1500"/>
          <c:min val="0"/>
        </c:scaling>
        <c:delete val="0"/>
        <c:axPos val="l"/>
        <c:majorGridlines/>
        <c:numFmt formatCode="#,##0" sourceLinked="1"/>
        <c:majorTickMark val="out"/>
        <c:minorTickMark val="none"/>
        <c:tickLblPos val="nextTo"/>
        <c:crossAx val="940872256"/>
        <c:crosses val="autoZero"/>
        <c:crossBetween val="between"/>
        <c:majorUnit val="500"/>
      </c:valAx>
    </c:plotArea>
    <c:legend>
      <c:legendPos val="b"/>
      <c:layout>
        <c:manualLayout>
          <c:xMode val="edge"/>
          <c:yMode val="edge"/>
          <c:x val="0.22009046396297907"/>
          <c:y val="5.3355015405682986E-2"/>
          <c:w val="0.65948682443324869"/>
          <c:h val="7.707976720301267E-2"/>
        </c:manualLayout>
      </c:layout>
      <c:overlay val="0"/>
    </c:legend>
    <c:plotVisOnly val="1"/>
    <c:dispBlanksAs val="gap"/>
    <c:showDLblsOverMax val="0"/>
  </c:chart>
  <c:spPr>
    <a:ln>
      <a:solidFill>
        <a:sysClr val="windowText" lastClr="000000"/>
      </a:solidFill>
    </a:ln>
  </c:sp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672994944019727"/>
          <c:y val="0.17764658323959504"/>
          <c:w val="0.84620472305684402"/>
          <c:h val="0.63445163104611912"/>
        </c:manualLayout>
      </c:layout>
      <c:barChart>
        <c:barDir val="col"/>
        <c:grouping val="clustered"/>
        <c:varyColors val="0"/>
        <c:ser>
          <c:idx val="0"/>
          <c:order val="0"/>
          <c:tx>
            <c:strRef>
              <c:f>'MOPAC7(new)'!$A$45</c:f>
              <c:strCache>
                <c:ptCount val="1"/>
                <c:pt idx="0">
                  <c:v>Actual </c:v>
                </c:pt>
              </c:strCache>
            </c:strRef>
          </c:tx>
          <c:invertIfNegative val="0"/>
          <c:cat>
            <c:strRef>
              <c:f>'MOPAC7(new)'!$B$44:$M$44</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'MOPAC7(new)'!$B$45:$M$45</c:f>
              <c:numCache>
                <c:formatCode>#,##0</c:formatCode>
                <c:ptCount val="12"/>
                <c:pt idx="0">
                  <c:v>1010</c:v>
                </c:pt>
                <c:pt idx="1">
                  <c:v>1023</c:v>
                </c:pt>
                <c:pt idx="2">
                  <c:v>1028</c:v>
                </c:pt>
                <c:pt idx="3">
                  <c:v>1029</c:v>
                </c:pt>
                <c:pt idx="4">
                  <c:v>1043</c:v>
                </c:pt>
                <c:pt idx="5">
                  <c:v>1046</c:v>
                </c:pt>
                <c:pt idx="6">
                  <c:v>1061</c:v>
                </c:pt>
              </c:numCache>
            </c:numRef>
          </c:val>
        </c:ser>
        <c:dLbls>
          <c:showLegendKey val="0"/>
          <c:showVal val="0"/>
          <c:showCatName val="0"/>
          <c:showSerName val="0"/>
          <c:showPercent val="0"/>
          <c:showBubbleSize val="0"/>
        </c:dLbls>
        <c:gapWidth val="50"/>
        <c:axId val="940871864"/>
        <c:axId val="940871080"/>
      </c:barChart>
      <c:lineChart>
        <c:grouping val="standard"/>
        <c:varyColors val="0"/>
        <c:ser>
          <c:idx val="1"/>
          <c:order val="1"/>
          <c:tx>
            <c:strRef>
              <c:f>'MOPAC7(new)'!$A$46</c:f>
              <c:strCache>
                <c:ptCount val="1"/>
                <c:pt idx="0">
                  <c:v>Target</c:v>
                </c:pt>
              </c:strCache>
            </c:strRef>
          </c:tx>
          <c:spPr>
            <a:ln w="34925">
              <a:solidFill>
                <a:srgbClr val="FF0000"/>
              </a:solidFill>
            </a:ln>
          </c:spPr>
          <c:marker>
            <c:symbol val="none"/>
          </c:marker>
          <c:cat>
            <c:strRef>
              <c:f>'MOPAC7(new)'!$B$44:$M$44</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'MOPAC7(new)'!$B$46:$M$46</c:f>
              <c:numCache>
                <c:formatCode>#,##0</c:formatCode>
                <c:ptCount val="12"/>
                <c:pt idx="0">
                  <c:v>1142</c:v>
                </c:pt>
                <c:pt idx="1">
                  <c:v>1142</c:v>
                </c:pt>
                <c:pt idx="2">
                  <c:v>1142</c:v>
                </c:pt>
                <c:pt idx="3">
                  <c:v>1142</c:v>
                </c:pt>
                <c:pt idx="4">
                  <c:v>1142</c:v>
                </c:pt>
                <c:pt idx="5">
                  <c:v>1142</c:v>
                </c:pt>
                <c:pt idx="6">
                  <c:v>1142</c:v>
                </c:pt>
                <c:pt idx="7">
                  <c:v>1142</c:v>
                </c:pt>
                <c:pt idx="8">
                  <c:v>1142</c:v>
                </c:pt>
                <c:pt idx="9">
                  <c:v>1142</c:v>
                </c:pt>
                <c:pt idx="10">
                  <c:v>1142</c:v>
                </c:pt>
                <c:pt idx="11">
                  <c:v>1142</c:v>
                </c:pt>
              </c:numCache>
            </c:numRef>
          </c:val>
          <c:smooth val="0"/>
        </c:ser>
        <c:ser>
          <c:idx val="2"/>
          <c:order val="2"/>
          <c:tx>
            <c:strRef>
              <c:f>'MOPAC7(new)'!$A$47</c:f>
              <c:strCache>
                <c:ptCount val="1"/>
                <c:pt idx="0">
                  <c:v>Actual 1 year ago </c:v>
                </c:pt>
              </c:strCache>
            </c:strRef>
          </c:tx>
          <c:spPr>
            <a:ln w="34925">
              <a:solidFill>
                <a:srgbClr val="92D050"/>
              </a:solidFill>
            </a:ln>
          </c:spPr>
          <c:marker>
            <c:symbol val="none"/>
          </c:marker>
          <c:cat>
            <c:strRef>
              <c:f>'MOPAC7(new)'!$B$44:$M$44</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'MOPAC7(new)'!$B$47:$M$47</c:f>
              <c:numCache>
                <c:formatCode>#,##0</c:formatCode>
                <c:ptCount val="12"/>
                <c:pt idx="0">
                  <c:v>1284</c:v>
                </c:pt>
                <c:pt idx="1">
                  <c:v>1293</c:v>
                </c:pt>
                <c:pt idx="2">
                  <c:v>1266</c:v>
                </c:pt>
                <c:pt idx="3">
                  <c:v>1226</c:v>
                </c:pt>
                <c:pt idx="4">
                  <c:v>1138</c:v>
                </c:pt>
                <c:pt idx="5">
                  <c:v>1077</c:v>
                </c:pt>
                <c:pt idx="6">
                  <c:v>1066</c:v>
                </c:pt>
                <c:pt idx="7">
                  <c:v>1071</c:v>
                </c:pt>
                <c:pt idx="8">
                  <c:v>1102</c:v>
                </c:pt>
                <c:pt idx="9">
                  <c:v>1081</c:v>
                </c:pt>
                <c:pt idx="10">
                  <c:v>1076</c:v>
                </c:pt>
                <c:pt idx="11">
                  <c:v>1019</c:v>
                </c:pt>
              </c:numCache>
            </c:numRef>
          </c:val>
          <c:smooth val="0"/>
        </c:ser>
        <c:dLbls>
          <c:showLegendKey val="0"/>
          <c:showVal val="0"/>
          <c:showCatName val="0"/>
          <c:showSerName val="0"/>
          <c:showPercent val="0"/>
          <c:showBubbleSize val="0"/>
        </c:dLbls>
        <c:marker val="1"/>
        <c:smooth val="0"/>
        <c:axId val="940871864"/>
        <c:axId val="940871080"/>
      </c:lineChart>
      <c:catAx>
        <c:axId val="940871864"/>
        <c:scaling>
          <c:orientation val="minMax"/>
        </c:scaling>
        <c:delete val="0"/>
        <c:axPos val="b"/>
        <c:numFmt formatCode="General" sourceLinked="1"/>
        <c:majorTickMark val="out"/>
        <c:minorTickMark val="none"/>
        <c:tickLblPos val="nextTo"/>
        <c:crossAx val="940871080"/>
        <c:crosses val="autoZero"/>
        <c:auto val="1"/>
        <c:lblAlgn val="ctr"/>
        <c:lblOffset val="100"/>
        <c:noMultiLvlLbl val="1"/>
      </c:catAx>
      <c:valAx>
        <c:axId val="940871080"/>
        <c:scaling>
          <c:orientation val="minMax"/>
        </c:scaling>
        <c:delete val="0"/>
        <c:axPos val="l"/>
        <c:majorGridlines/>
        <c:numFmt formatCode="#,##0" sourceLinked="1"/>
        <c:majorTickMark val="out"/>
        <c:minorTickMark val="none"/>
        <c:tickLblPos val="nextTo"/>
        <c:crossAx val="940871864"/>
        <c:crosses val="autoZero"/>
        <c:crossBetween val="between"/>
        <c:majorUnit val="250"/>
      </c:valAx>
    </c:plotArea>
    <c:legend>
      <c:legendPos val="b"/>
      <c:layout>
        <c:manualLayout>
          <c:xMode val="edge"/>
          <c:yMode val="edge"/>
          <c:x val="0.18284783835982765"/>
          <c:y val="3.55828177727784E-2"/>
          <c:w val="0.6733295678164718"/>
          <c:h val="8.5522792788472982E-2"/>
        </c:manualLayout>
      </c:layout>
      <c:overlay val="0"/>
    </c:legend>
    <c:plotVisOnly val="1"/>
    <c:dispBlanksAs val="gap"/>
    <c:showDLblsOverMax val="0"/>
  </c:chart>
  <c:spPr>
    <a:ln>
      <a:solidFill>
        <a:sysClr val="windowText" lastClr="000000"/>
      </a:solidFill>
    </a:ln>
  </c:spPr>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1880552666765709"/>
          <c:y val="0.12964617462490469"/>
          <c:w val="0.83513052835026547"/>
          <c:h val="0.65660130749794166"/>
        </c:manualLayout>
      </c:layout>
      <c:barChart>
        <c:barDir val="col"/>
        <c:grouping val="clustered"/>
        <c:varyColors val="0"/>
        <c:ser>
          <c:idx val="0"/>
          <c:order val="0"/>
          <c:tx>
            <c:strRef>
              <c:f>'MOPAC7(new)'!$A$7</c:f>
              <c:strCache>
                <c:ptCount val="1"/>
                <c:pt idx="0">
                  <c:v>Actual </c:v>
                </c:pt>
              </c:strCache>
            </c:strRef>
          </c:tx>
          <c:spPr>
            <a:solidFill>
              <a:srgbClr val="1F497D">
                <a:lumMod val="60000"/>
                <a:lumOff val="40000"/>
              </a:srgbClr>
            </a:solidFill>
          </c:spPr>
          <c:invertIfNegative val="0"/>
          <c:cat>
            <c:strRef>
              <c:f>'MOPAC7(new)'!$B$6:$M$6</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'MOPAC7(new)'!$B$7:$M$7</c:f>
              <c:numCache>
                <c:formatCode>#,##0</c:formatCode>
                <c:ptCount val="12"/>
                <c:pt idx="0">
                  <c:v>2789</c:v>
                </c:pt>
                <c:pt idx="1">
                  <c:v>2750</c:v>
                </c:pt>
                <c:pt idx="2">
                  <c:v>2713</c:v>
                </c:pt>
                <c:pt idx="3">
                  <c:v>2719</c:v>
                </c:pt>
                <c:pt idx="4">
                  <c:v>2773</c:v>
                </c:pt>
                <c:pt idx="5">
                  <c:v>2794</c:v>
                </c:pt>
                <c:pt idx="6">
                  <c:v>2779</c:v>
                </c:pt>
              </c:numCache>
            </c:numRef>
          </c:val>
        </c:ser>
        <c:dLbls>
          <c:showLegendKey val="0"/>
          <c:showVal val="0"/>
          <c:showCatName val="0"/>
          <c:showSerName val="0"/>
          <c:showPercent val="0"/>
          <c:showBubbleSize val="0"/>
        </c:dLbls>
        <c:gapWidth val="50"/>
        <c:axId val="940873824"/>
        <c:axId val="940873040"/>
      </c:barChart>
      <c:lineChart>
        <c:grouping val="standard"/>
        <c:varyColors val="0"/>
        <c:ser>
          <c:idx val="1"/>
          <c:order val="1"/>
          <c:tx>
            <c:strRef>
              <c:f>'MOPAC7(new)'!$A$8</c:f>
              <c:strCache>
                <c:ptCount val="1"/>
                <c:pt idx="0">
                  <c:v>Average 1 year ago</c:v>
                </c:pt>
              </c:strCache>
            </c:strRef>
          </c:tx>
          <c:spPr>
            <a:ln w="34925">
              <a:solidFill>
                <a:srgbClr val="FF0000"/>
              </a:solidFill>
            </a:ln>
          </c:spPr>
          <c:marker>
            <c:symbol val="none"/>
          </c:marker>
          <c:cat>
            <c:strRef>
              <c:f>'MOPAC7(new)'!$B$6:$M$6</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'MOPAC7(new)'!$B$8:$M$8</c:f>
              <c:numCache>
                <c:formatCode>#,##0</c:formatCode>
                <c:ptCount val="12"/>
                <c:pt idx="0">
                  <c:v>2702</c:v>
                </c:pt>
                <c:pt idx="1">
                  <c:v>2702</c:v>
                </c:pt>
                <c:pt idx="2">
                  <c:v>2702</c:v>
                </c:pt>
                <c:pt idx="3">
                  <c:v>2702</c:v>
                </c:pt>
                <c:pt idx="4">
                  <c:v>2702</c:v>
                </c:pt>
                <c:pt idx="5">
                  <c:v>2702</c:v>
                </c:pt>
                <c:pt idx="6">
                  <c:v>2702</c:v>
                </c:pt>
                <c:pt idx="7">
                  <c:v>2702</c:v>
                </c:pt>
                <c:pt idx="8">
                  <c:v>2702</c:v>
                </c:pt>
                <c:pt idx="9">
                  <c:v>2702</c:v>
                </c:pt>
                <c:pt idx="10">
                  <c:v>2702</c:v>
                </c:pt>
                <c:pt idx="11">
                  <c:v>2702</c:v>
                </c:pt>
              </c:numCache>
            </c:numRef>
          </c:val>
          <c:smooth val="0"/>
        </c:ser>
        <c:ser>
          <c:idx val="2"/>
          <c:order val="2"/>
          <c:tx>
            <c:strRef>
              <c:f>'MOPAC7(new)'!$A$9</c:f>
              <c:strCache>
                <c:ptCount val="1"/>
                <c:pt idx="0">
                  <c:v>Actual 1 year ago </c:v>
                </c:pt>
              </c:strCache>
            </c:strRef>
          </c:tx>
          <c:spPr>
            <a:ln w="34925">
              <a:solidFill>
                <a:srgbClr val="92D050"/>
              </a:solidFill>
            </a:ln>
          </c:spPr>
          <c:marker>
            <c:symbol val="none"/>
          </c:marker>
          <c:cat>
            <c:strRef>
              <c:f>'MOPAC7(new)'!$B$6:$M$6</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'MOPAC7(new)'!$B$9:$M$9</c:f>
              <c:numCache>
                <c:formatCode>#,##0</c:formatCode>
                <c:ptCount val="12"/>
                <c:pt idx="0">
                  <c:v>2696</c:v>
                </c:pt>
                <c:pt idx="1">
                  <c:v>2689</c:v>
                </c:pt>
                <c:pt idx="2">
                  <c:v>2696</c:v>
                </c:pt>
                <c:pt idx="3">
                  <c:v>2680</c:v>
                </c:pt>
                <c:pt idx="4">
                  <c:v>2651</c:v>
                </c:pt>
                <c:pt idx="5">
                  <c:v>2606</c:v>
                </c:pt>
                <c:pt idx="6">
                  <c:v>2657</c:v>
                </c:pt>
                <c:pt idx="7">
                  <c:v>2700</c:v>
                </c:pt>
                <c:pt idx="8">
                  <c:v>2707</c:v>
                </c:pt>
                <c:pt idx="9">
                  <c:v>2743</c:v>
                </c:pt>
                <c:pt idx="10">
                  <c:v>2794</c:v>
                </c:pt>
                <c:pt idx="11">
                  <c:v>2801</c:v>
                </c:pt>
              </c:numCache>
            </c:numRef>
          </c:val>
          <c:smooth val="0"/>
        </c:ser>
        <c:dLbls>
          <c:showLegendKey val="0"/>
          <c:showVal val="0"/>
          <c:showCatName val="0"/>
          <c:showSerName val="0"/>
          <c:showPercent val="0"/>
          <c:showBubbleSize val="0"/>
        </c:dLbls>
        <c:marker val="1"/>
        <c:smooth val="0"/>
        <c:axId val="940873824"/>
        <c:axId val="940873040"/>
      </c:lineChart>
      <c:catAx>
        <c:axId val="940873824"/>
        <c:scaling>
          <c:orientation val="minMax"/>
        </c:scaling>
        <c:delete val="0"/>
        <c:axPos val="b"/>
        <c:numFmt formatCode="General" sourceLinked="1"/>
        <c:majorTickMark val="out"/>
        <c:minorTickMark val="none"/>
        <c:tickLblPos val="nextTo"/>
        <c:crossAx val="940873040"/>
        <c:crosses val="autoZero"/>
        <c:auto val="1"/>
        <c:lblAlgn val="ctr"/>
        <c:lblOffset val="100"/>
        <c:noMultiLvlLbl val="1"/>
      </c:catAx>
      <c:valAx>
        <c:axId val="940873040"/>
        <c:scaling>
          <c:orientation val="minMax"/>
          <c:max val="3500"/>
          <c:min val="0"/>
        </c:scaling>
        <c:delete val="0"/>
        <c:axPos val="l"/>
        <c:majorGridlines/>
        <c:numFmt formatCode="#,##0" sourceLinked="1"/>
        <c:majorTickMark val="out"/>
        <c:minorTickMark val="none"/>
        <c:tickLblPos val="nextTo"/>
        <c:crossAx val="940873824"/>
        <c:crosses val="autoZero"/>
        <c:crossBetween val="between"/>
        <c:majorUnit val="500"/>
      </c:valAx>
    </c:plotArea>
    <c:legend>
      <c:legendPos val="b"/>
      <c:layout>
        <c:manualLayout>
          <c:xMode val="edge"/>
          <c:yMode val="edge"/>
          <c:x val="9.0336435343161603E-2"/>
          <c:y val="3.6564375079414131E-2"/>
          <c:w val="0.83040132402025535"/>
          <c:h val="7.7401357109659091E-2"/>
        </c:manualLayout>
      </c:layout>
      <c:overlay val="0"/>
    </c:legend>
    <c:plotVisOnly val="1"/>
    <c:dispBlanksAs val="gap"/>
    <c:showDLblsOverMax val="0"/>
  </c:chart>
  <c:spPr>
    <a:ln>
      <a:solidFill>
        <a:sysClr val="windowText" lastClr="000000"/>
      </a:solidFill>
    </a:ln>
  </c:sp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672994944019727"/>
          <c:y val="0.16651750790753789"/>
          <c:w val="0.84343617438019947"/>
          <c:h val="0.62428825452732317"/>
        </c:manualLayout>
      </c:layout>
      <c:barChart>
        <c:barDir val="col"/>
        <c:grouping val="clustered"/>
        <c:varyColors val="0"/>
        <c:ser>
          <c:idx val="0"/>
          <c:order val="0"/>
          <c:tx>
            <c:strRef>
              <c:f>'MOPAC7(new)'!$A$24</c:f>
              <c:strCache>
                <c:ptCount val="1"/>
                <c:pt idx="0">
                  <c:v>Actual </c:v>
                </c:pt>
              </c:strCache>
            </c:strRef>
          </c:tx>
          <c:spPr>
            <a:solidFill>
              <a:srgbClr val="1F497D">
                <a:lumMod val="60000"/>
                <a:lumOff val="40000"/>
              </a:srgbClr>
            </a:solidFill>
          </c:spPr>
          <c:invertIfNegative val="0"/>
          <c:cat>
            <c:strRef>
              <c:f>'MOPAC7(new)'!$B$23:$M$23</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'MOPAC7(new)'!$B$24:$M$24</c:f>
              <c:numCache>
                <c:formatCode>#,##0</c:formatCode>
                <c:ptCount val="12"/>
                <c:pt idx="0">
                  <c:v>3015</c:v>
                </c:pt>
                <c:pt idx="1">
                  <c:v>2990</c:v>
                </c:pt>
                <c:pt idx="2">
                  <c:v>2934</c:v>
                </c:pt>
                <c:pt idx="3">
                  <c:v>2887</c:v>
                </c:pt>
                <c:pt idx="4">
                  <c:v>2832</c:v>
                </c:pt>
                <c:pt idx="5">
                  <c:v>2774</c:v>
                </c:pt>
                <c:pt idx="6">
                  <c:v>2722</c:v>
                </c:pt>
              </c:numCache>
            </c:numRef>
          </c:val>
        </c:ser>
        <c:dLbls>
          <c:showLegendKey val="0"/>
          <c:showVal val="0"/>
          <c:showCatName val="0"/>
          <c:showSerName val="0"/>
          <c:showPercent val="0"/>
          <c:showBubbleSize val="0"/>
        </c:dLbls>
        <c:gapWidth val="50"/>
        <c:axId val="940874608"/>
        <c:axId val="940875000"/>
      </c:barChart>
      <c:lineChart>
        <c:grouping val="standard"/>
        <c:varyColors val="0"/>
        <c:ser>
          <c:idx val="1"/>
          <c:order val="1"/>
          <c:tx>
            <c:strRef>
              <c:f>'MOPAC7(new)'!$A$25</c:f>
              <c:strCache>
                <c:ptCount val="1"/>
                <c:pt idx="0">
                  <c:v>Target</c:v>
                </c:pt>
              </c:strCache>
            </c:strRef>
          </c:tx>
          <c:spPr>
            <a:ln w="34925">
              <a:solidFill>
                <a:srgbClr val="FF0000"/>
              </a:solidFill>
            </a:ln>
          </c:spPr>
          <c:marker>
            <c:symbol val="none"/>
          </c:marker>
          <c:cat>
            <c:strRef>
              <c:f>'MOPAC7(new)'!$B$23:$M$23</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'MOPAC7(new)'!$B$25:$M$25</c:f>
              <c:numCache>
                <c:formatCode>#,##0</c:formatCode>
                <c:ptCount val="12"/>
                <c:pt idx="0">
                  <c:v>3205</c:v>
                </c:pt>
                <c:pt idx="1">
                  <c:v>3205</c:v>
                </c:pt>
                <c:pt idx="2">
                  <c:v>3205</c:v>
                </c:pt>
                <c:pt idx="3">
                  <c:v>3205</c:v>
                </c:pt>
                <c:pt idx="4">
                  <c:v>3205</c:v>
                </c:pt>
                <c:pt idx="5">
                  <c:v>3205</c:v>
                </c:pt>
                <c:pt idx="6">
                  <c:v>3205</c:v>
                </c:pt>
                <c:pt idx="7">
                  <c:v>3205</c:v>
                </c:pt>
                <c:pt idx="8">
                  <c:v>3205</c:v>
                </c:pt>
                <c:pt idx="9">
                  <c:v>3205</c:v>
                </c:pt>
                <c:pt idx="10">
                  <c:v>3205</c:v>
                </c:pt>
                <c:pt idx="11">
                  <c:v>3205</c:v>
                </c:pt>
              </c:numCache>
            </c:numRef>
          </c:val>
          <c:smooth val="0"/>
        </c:ser>
        <c:ser>
          <c:idx val="2"/>
          <c:order val="2"/>
          <c:tx>
            <c:strRef>
              <c:f>'MOPAC7(new)'!$A$26</c:f>
              <c:strCache>
                <c:ptCount val="1"/>
                <c:pt idx="0">
                  <c:v>Actual 1 year ago </c:v>
                </c:pt>
              </c:strCache>
            </c:strRef>
          </c:tx>
          <c:spPr>
            <a:ln w="34925">
              <a:solidFill>
                <a:srgbClr val="92D050"/>
              </a:solidFill>
            </a:ln>
          </c:spPr>
          <c:marker>
            <c:symbol val="none"/>
          </c:marker>
          <c:cat>
            <c:strRef>
              <c:f>'MOPAC7(new)'!$B$23:$M$23</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'MOPAC7(new)'!$B$26:$M$26</c:f>
              <c:numCache>
                <c:formatCode>#,##0</c:formatCode>
                <c:ptCount val="12"/>
                <c:pt idx="0">
                  <c:v>3305</c:v>
                </c:pt>
                <c:pt idx="1">
                  <c:v>3282</c:v>
                </c:pt>
                <c:pt idx="2">
                  <c:v>3274</c:v>
                </c:pt>
                <c:pt idx="3">
                  <c:v>3257</c:v>
                </c:pt>
                <c:pt idx="4">
                  <c:v>3230</c:v>
                </c:pt>
                <c:pt idx="5">
                  <c:v>3217</c:v>
                </c:pt>
                <c:pt idx="6">
                  <c:v>3197</c:v>
                </c:pt>
                <c:pt idx="7">
                  <c:v>3187</c:v>
                </c:pt>
                <c:pt idx="8">
                  <c:v>3161</c:v>
                </c:pt>
                <c:pt idx="9">
                  <c:v>3144</c:v>
                </c:pt>
                <c:pt idx="10">
                  <c:v>3143</c:v>
                </c:pt>
                <c:pt idx="11">
                  <c:v>3065</c:v>
                </c:pt>
              </c:numCache>
            </c:numRef>
          </c:val>
          <c:smooth val="0"/>
        </c:ser>
        <c:dLbls>
          <c:showLegendKey val="0"/>
          <c:showVal val="0"/>
          <c:showCatName val="0"/>
          <c:showSerName val="0"/>
          <c:showPercent val="0"/>
          <c:showBubbleSize val="0"/>
        </c:dLbls>
        <c:marker val="1"/>
        <c:smooth val="0"/>
        <c:axId val="940874608"/>
        <c:axId val="940875000"/>
      </c:lineChart>
      <c:catAx>
        <c:axId val="940874608"/>
        <c:scaling>
          <c:orientation val="minMax"/>
        </c:scaling>
        <c:delete val="0"/>
        <c:axPos val="b"/>
        <c:numFmt formatCode="General" sourceLinked="1"/>
        <c:majorTickMark val="out"/>
        <c:minorTickMark val="none"/>
        <c:tickLblPos val="nextTo"/>
        <c:crossAx val="940875000"/>
        <c:crosses val="autoZero"/>
        <c:auto val="1"/>
        <c:lblAlgn val="ctr"/>
        <c:lblOffset val="100"/>
        <c:noMultiLvlLbl val="1"/>
      </c:catAx>
      <c:valAx>
        <c:axId val="940875000"/>
        <c:scaling>
          <c:orientation val="minMax"/>
          <c:max val="4000"/>
          <c:min val="0"/>
        </c:scaling>
        <c:delete val="0"/>
        <c:axPos val="l"/>
        <c:majorGridlines/>
        <c:numFmt formatCode="#,##0" sourceLinked="1"/>
        <c:majorTickMark val="out"/>
        <c:minorTickMark val="none"/>
        <c:tickLblPos val="nextTo"/>
        <c:crossAx val="940874608"/>
        <c:crosses val="autoZero"/>
        <c:crossBetween val="between"/>
      </c:valAx>
    </c:plotArea>
    <c:legend>
      <c:legendPos val="b"/>
      <c:layout>
        <c:manualLayout>
          <c:xMode val="edge"/>
          <c:yMode val="edge"/>
          <c:x val="0.17025658778337568"/>
          <c:y val="4.1487706892811199E-2"/>
          <c:w val="0.76192312546910002"/>
          <c:h val="7.274733668624786E-2"/>
        </c:manualLayout>
      </c:layout>
      <c:overlay val="0"/>
    </c:legend>
    <c:plotVisOnly val="1"/>
    <c:dispBlanksAs val="gap"/>
    <c:showDLblsOverMax val="0"/>
  </c:chart>
  <c:spPr>
    <a:ln>
      <a:solidFill>
        <a:sysClr val="windowText" lastClr="000000"/>
      </a:solidFill>
    </a:ln>
  </c:spPr>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8.5785769703401238E-2"/>
          <c:y val="0.1279528474000011"/>
          <c:w val="0.87218541078591605"/>
          <c:h val="0.65805142356275881"/>
        </c:manualLayout>
      </c:layout>
      <c:barChart>
        <c:barDir val="col"/>
        <c:grouping val="clustered"/>
        <c:varyColors val="0"/>
        <c:ser>
          <c:idx val="0"/>
          <c:order val="0"/>
          <c:tx>
            <c:strRef>
              <c:f>'MOPAC7(new)'!$A$86</c:f>
              <c:strCache>
                <c:ptCount val="1"/>
                <c:pt idx="0">
                  <c:v>Actual </c:v>
                </c:pt>
              </c:strCache>
            </c:strRef>
          </c:tx>
          <c:invertIfNegative val="0"/>
          <c:cat>
            <c:strRef>
              <c:f>'MOPAC7(new)'!$B$85:$M$85</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'MOPAC7(new)'!$B$86:$M$86</c:f>
              <c:numCache>
                <c:formatCode>General</c:formatCode>
                <c:ptCount val="12"/>
                <c:pt idx="0">
                  <c:v>530</c:v>
                </c:pt>
                <c:pt idx="1">
                  <c:v>537</c:v>
                </c:pt>
                <c:pt idx="2">
                  <c:v>559</c:v>
                </c:pt>
                <c:pt idx="3">
                  <c:v>576</c:v>
                </c:pt>
                <c:pt idx="4">
                  <c:v>570</c:v>
                </c:pt>
                <c:pt idx="5">
                  <c:v>550</c:v>
                </c:pt>
                <c:pt idx="6">
                  <c:v>565</c:v>
                </c:pt>
              </c:numCache>
            </c:numRef>
          </c:val>
        </c:ser>
        <c:dLbls>
          <c:showLegendKey val="0"/>
          <c:showVal val="0"/>
          <c:showCatName val="0"/>
          <c:showSerName val="0"/>
          <c:showPercent val="0"/>
          <c:showBubbleSize val="0"/>
        </c:dLbls>
        <c:gapWidth val="50"/>
        <c:axId val="940876176"/>
        <c:axId val="940875392"/>
      </c:barChart>
      <c:lineChart>
        <c:grouping val="standard"/>
        <c:varyColors val="0"/>
        <c:ser>
          <c:idx val="1"/>
          <c:order val="1"/>
          <c:tx>
            <c:strRef>
              <c:f>'MOPAC7(new)'!$A$87</c:f>
              <c:strCache>
                <c:ptCount val="1"/>
                <c:pt idx="0">
                  <c:v>Target</c:v>
                </c:pt>
              </c:strCache>
            </c:strRef>
          </c:tx>
          <c:spPr>
            <a:ln w="34925">
              <a:solidFill>
                <a:srgbClr val="FF0000"/>
              </a:solidFill>
            </a:ln>
          </c:spPr>
          <c:marker>
            <c:symbol val="none"/>
          </c:marker>
          <c:cat>
            <c:strRef>
              <c:f>'MOPAC7(new)'!$B$85:$M$85</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'MOPAC7(new)'!$B$87:$M$87</c:f>
              <c:numCache>
                <c:formatCode>#,##0</c:formatCode>
                <c:ptCount val="12"/>
                <c:pt idx="0">
                  <c:v>512.75</c:v>
                </c:pt>
                <c:pt idx="1">
                  <c:v>512.75</c:v>
                </c:pt>
                <c:pt idx="2">
                  <c:v>512.75</c:v>
                </c:pt>
                <c:pt idx="3">
                  <c:v>512.75</c:v>
                </c:pt>
                <c:pt idx="4">
                  <c:v>512.75</c:v>
                </c:pt>
                <c:pt idx="5">
                  <c:v>512.75</c:v>
                </c:pt>
                <c:pt idx="6">
                  <c:v>512.75</c:v>
                </c:pt>
                <c:pt idx="7">
                  <c:v>512.75</c:v>
                </c:pt>
                <c:pt idx="8">
                  <c:v>512.75</c:v>
                </c:pt>
                <c:pt idx="9">
                  <c:v>512.75</c:v>
                </c:pt>
                <c:pt idx="10">
                  <c:v>512.75</c:v>
                </c:pt>
                <c:pt idx="11">
                  <c:v>512.75</c:v>
                </c:pt>
              </c:numCache>
            </c:numRef>
          </c:val>
          <c:smooth val="0"/>
        </c:ser>
        <c:ser>
          <c:idx val="2"/>
          <c:order val="2"/>
          <c:tx>
            <c:strRef>
              <c:f>'MOPAC7(new)'!$A$88</c:f>
              <c:strCache>
                <c:ptCount val="1"/>
                <c:pt idx="0">
                  <c:v>Actual 1 year ago </c:v>
                </c:pt>
              </c:strCache>
            </c:strRef>
          </c:tx>
          <c:spPr>
            <a:ln w="34925">
              <a:solidFill>
                <a:srgbClr val="92D050"/>
              </a:solidFill>
            </a:ln>
          </c:spPr>
          <c:marker>
            <c:symbol val="none"/>
          </c:marker>
          <c:cat>
            <c:strRef>
              <c:f>'MOPAC7(new)'!$B$85:$M$85</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'MOPAC7(new)'!$B$88:$M$88</c:f>
              <c:numCache>
                <c:formatCode>General</c:formatCode>
                <c:ptCount val="12"/>
                <c:pt idx="0">
                  <c:v>557</c:v>
                </c:pt>
                <c:pt idx="1">
                  <c:v>541</c:v>
                </c:pt>
                <c:pt idx="2">
                  <c:v>518</c:v>
                </c:pt>
                <c:pt idx="3">
                  <c:v>495</c:v>
                </c:pt>
                <c:pt idx="4">
                  <c:v>483</c:v>
                </c:pt>
                <c:pt idx="5">
                  <c:v>506</c:v>
                </c:pt>
                <c:pt idx="6">
                  <c:v>504</c:v>
                </c:pt>
                <c:pt idx="7">
                  <c:v>504</c:v>
                </c:pt>
                <c:pt idx="8">
                  <c:v>495</c:v>
                </c:pt>
                <c:pt idx="9">
                  <c:v>508</c:v>
                </c:pt>
                <c:pt idx="10">
                  <c:v>514</c:v>
                </c:pt>
                <c:pt idx="11">
                  <c:v>528</c:v>
                </c:pt>
              </c:numCache>
            </c:numRef>
          </c:val>
          <c:smooth val="0"/>
        </c:ser>
        <c:dLbls>
          <c:showLegendKey val="0"/>
          <c:showVal val="0"/>
          <c:showCatName val="0"/>
          <c:showSerName val="0"/>
          <c:showPercent val="0"/>
          <c:showBubbleSize val="0"/>
        </c:dLbls>
        <c:marker val="1"/>
        <c:smooth val="0"/>
        <c:axId val="940876176"/>
        <c:axId val="940875392"/>
      </c:lineChart>
      <c:catAx>
        <c:axId val="940876176"/>
        <c:scaling>
          <c:orientation val="minMax"/>
        </c:scaling>
        <c:delete val="0"/>
        <c:axPos val="b"/>
        <c:numFmt formatCode="General" sourceLinked="1"/>
        <c:majorTickMark val="out"/>
        <c:minorTickMark val="none"/>
        <c:tickLblPos val="nextTo"/>
        <c:crossAx val="940875392"/>
        <c:crosses val="autoZero"/>
        <c:auto val="1"/>
        <c:lblAlgn val="ctr"/>
        <c:lblOffset val="100"/>
        <c:noMultiLvlLbl val="1"/>
      </c:catAx>
      <c:valAx>
        <c:axId val="940875392"/>
        <c:scaling>
          <c:orientation val="minMax"/>
          <c:max val="800"/>
          <c:min val="0"/>
        </c:scaling>
        <c:delete val="0"/>
        <c:axPos val="l"/>
        <c:majorGridlines/>
        <c:numFmt formatCode="General" sourceLinked="1"/>
        <c:majorTickMark val="out"/>
        <c:minorTickMark val="none"/>
        <c:tickLblPos val="nextTo"/>
        <c:crossAx val="940876176"/>
        <c:crosses val="autoZero"/>
        <c:crossBetween val="between"/>
        <c:majorUnit val="200"/>
      </c:valAx>
    </c:plotArea>
    <c:legend>
      <c:legendPos val="b"/>
      <c:layout>
        <c:manualLayout>
          <c:xMode val="edge"/>
          <c:yMode val="edge"/>
          <c:x val="0.15918239307679713"/>
          <c:y val="5.7617590000738399E-2"/>
          <c:w val="0.75361747943916613"/>
          <c:h val="8.1342341798068082E-2"/>
        </c:manualLayout>
      </c:layout>
      <c:overlay val="0"/>
    </c:legend>
    <c:plotVisOnly val="1"/>
    <c:dispBlanksAs val="gap"/>
    <c:showDLblsOverMax val="0"/>
  </c:chart>
  <c:spPr>
    <a:ln>
      <a:solidFill>
        <a:sysClr val="windowText" lastClr="000000"/>
      </a:solidFill>
    </a:ln>
  </c:sp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0672994944019727"/>
          <c:y val="0.12819113960086256"/>
          <c:w val="0.86558456379335635"/>
          <c:h val="0.67113159356881524"/>
        </c:manualLayout>
      </c:layout>
      <c:barChart>
        <c:barDir val="col"/>
        <c:grouping val="clustered"/>
        <c:varyColors val="0"/>
        <c:ser>
          <c:idx val="0"/>
          <c:order val="0"/>
          <c:tx>
            <c:strRef>
              <c:f>'MOPAC7(new)'!$A$127</c:f>
              <c:strCache>
                <c:ptCount val="1"/>
                <c:pt idx="0">
                  <c:v>Actual </c:v>
                </c:pt>
              </c:strCache>
            </c:strRef>
          </c:tx>
          <c:invertIfNegative val="0"/>
          <c:cat>
            <c:strRef>
              <c:f>'MOPAC7(new)'!$B$126:$M$126</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'MOPAC7(new)'!$B$127:$M$127</c:f>
              <c:numCache>
                <c:formatCode>#,##0</c:formatCode>
                <c:ptCount val="12"/>
                <c:pt idx="0">
                  <c:v>3019</c:v>
                </c:pt>
                <c:pt idx="1">
                  <c:v>3030</c:v>
                </c:pt>
                <c:pt idx="2">
                  <c:v>2996</c:v>
                </c:pt>
                <c:pt idx="3">
                  <c:v>2985</c:v>
                </c:pt>
                <c:pt idx="4">
                  <c:v>2997</c:v>
                </c:pt>
                <c:pt idx="5">
                  <c:v>2955</c:v>
                </c:pt>
                <c:pt idx="6">
                  <c:v>2990</c:v>
                </c:pt>
              </c:numCache>
            </c:numRef>
          </c:val>
        </c:ser>
        <c:dLbls>
          <c:showLegendKey val="0"/>
          <c:showVal val="0"/>
          <c:showCatName val="0"/>
          <c:showSerName val="0"/>
          <c:showPercent val="0"/>
          <c:showBubbleSize val="0"/>
        </c:dLbls>
        <c:gapWidth val="50"/>
        <c:axId val="940864024"/>
        <c:axId val="940875784"/>
      </c:barChart>
      <c:lineChart>
        <c:grouping val="standard"/>
        <c:varyColors val="0"/>
        <c:ser>
          <c:idx val="1"/>
          <c:order val="1"/>
          <c:tx>
            <c:strRef>
              <c:f>'MOPAC7(new)'!$A$128</c:f>
              <c:strCache>
                <c:ptCount val="1"/>
                <c:pt idx="0">
                  <c:v>Target</c:v>
                </c:pt>
              </c:strCache>
            </c:strRef>
          </c:tx>
          <c:spPr>
            <a:ln w="34925">
              <a:solidFill>
                <a:srgbClr val="FF0000"/>
              </a:solidFill>
            </a:ln>
          </c:spPr>
          <c:marker>
            <c:symbol val="none"/>
          </c:marker>
          <c:cat>
            <c:strRef>
              <c:f>'MOPAC7(new)'!$B$126:$M$126</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'MOPAC7(new)'!$B$128:$M$128</c:f>
              <c:numCache>
                <c:formatCode>#,##0</c:formatCode>
                <c:ptCount val="12"/>
                <c:pt idx="0">
                  <c:v>2997</c:v>
                </c:pt>
                <c:pt idx="1">
                  <c:v>2997</c:v>
                </c:pt>
                <c:pt idx="2">
                  <c:v>2997</c:v>
                </c:pt>
                <c:pt idx="3">
                  <c:v>2997</c:v>
                </c:pt>
                <c:pt idx="4">
                  <c:v>2997</c:v>
                </c:pt>
                <c:pt idx="5">
                  <c:v>2997</c:v>
                </c:pt>
                <c:pt idx="6">
                  <c:v>2997</c:v>
                </c:pt>
                <c:pt idx="7">
                  <c:v>2997</c:v>
                </c:pt>
                <c:pt idx="8">
                  <c:v>2997</c:v>
                </c:pt>
                <c:pt idx="9">
                  <c:v>2997</c:v>
                </c:pt>
                <c:pt idx="10">
                  <c:v>2997</c:v>
                </c:pt>
                <c:pt idx="11">
                  <c:v>3020</c:v>
                </c:pt>
              </c:numCache>
            </c:numRef>
          </c:val>
          <c:smooth val="0"/>
        </c:ser>
        <c:ser>
          <c:idx val="2"/>
          <c:order val="2"/>
          <c:tx>
            <c:strRef>
              <c:f>'MOPAC7(new)'!$A$129</c:f>
              <c:strCache>
                <c:ptCount val="1"/>
                <c:pt idx="0">
                  <c:v>Actual 1 year ago </c:v>
                </c:pt>
              </c:strCache>
            </c:strRef>
          </c:tx>
          <c:spPr>
            <a:ln w="34925">
              <a:solidFill>
                <a:srgbClr val="92D050"/>
              </a:solidFill>
            </a:ln>
          </c:spPr>
          <c:marker>
            <c:symbol val="none"/>
          </c:marker>
          <c:cat>
            <c:strRef>
              <c:f>'MOPAC7(new)'!$B$126:$M$126</c:f>
              <c:strCache>
                <c:ptCount val="12"/>
                <c:pt idx="0">
                  <c:v> Apr-18</c:v>
                </c:pt>
                <c:pt idx="1">
                  <c:v> May-18</c:v>
                </c:pt>
                <c:pt idx="2">
                  <c:v>Jun-18</c:v>
                </c:pt>
                <c:pt idx="3">
                  <c:v>Jul-18</c:v>
                </c:pt>
                <c:pt idx="4">
                  <c:v>Aug-18</c:v>
                </c:pt>
                <c:pt idx="5">
                  <c:v>Sep-18</c:v>
                </c:pt>
                <c:pt idx="6">
                  <c:v>Oct-18</c:v>
                </c:pt>
                <c:pt idx="7">
                  <c:v>Nov-18</c:v>
                </c:pt>
                <c:pt idx="8">
                  <c:v>Dec-18</c:v>
                </c:pt>
                <c:pt idx="9">
                  <c:v>Jan-19</c:v>
                </c:pt>
                <c:pt idx="10">
                  <c:v>Feb-19</c:v>
                </c:pt>
                <c:pt idx="11">
                  <c:v>Mar-19</c:v>
                </c:pt>
              </c:strCache>
            </c:strRef>
          </c:cat>
          <c:val>
            <c:numRef>
              <c:f>'MOPAC7(new)'!$B$129:$M$129</c:f>
              <c:numCache>
                <c:formatCode>#,##0</c:formatCode>
                <c:ptCount val="12"/>
                <c:pt idx="0">
                  <c:v>2964</c:v>
                </c:pt>
                <c:pt idx="1">
                  <c:v>2960</c:v>
                </c:pt>
                <c:pt idx="2">
                  <c:v>3007</c:v>
                </c:pt>
                <c:pt idx="3">
                  <c:v>3028</c:v>
                </c:pt>
                <c:pt idx="4">
                  <c:v>3025</c:v>
                </c:pt>
                <c:pt idx="5">
                  <c:v>3026</c:v>
                </c:pt>
                <c:pt idx="6">
                  <c:v>2993</c:v>
                </c:pt>
                <c:pt idx="7">
                  <c:v>2987</c:v>
                </c:pt>
                <c:pt idx="8">
                  <c:v>2995</c:v>
                </c:pt>
                <c:pt idx="9">
                  <c:v>2980</c:v>
                </c:pt>
                <c:pt idx="10">
                  <c:v>3000</c:v>
                </c:pt>
                <c:pt idx="11">
                  <c:v>3017</c:v>
                </c:pt>
              </c:numCache>
            </c:numRef>
          </c:val>
          <c:smooth val="0"/>
        </c:ser>
        <c:dLbls>
          <c:showLegendKey val="0"/>
          <c:showVal val="0"/>
          <c:showCatName val="0"/>
          <c:showSerName val="0"/>
          <c:showPercent val="0"/>
          <c:showBubbleSize val="0"/>
        </c:dLbls>
        <c:marker val="1"/>
        <c:smooth val="0"/>
        <c:axId val="940864024"/>
        <c:axId val="940875784"/>
      </c:lineChart>
      <c:catAx>
        <c:axId val="940864024"/>
        <c:scaling>
          <c:orientation val="minMax"/>
        </c:scaling>
        <c:delete val="0"/>
        <c:axPos val="b"/>
        <c:numFmt formatCode="General" sourceLinked="1"/>
        <c:majorTickMark val="out"/>
        <c:minorTickMark val="none"/>
        <c:tickLblPos val="nextTo"/>
        <c:crossAx val="940875784"/>
        <c:crosses val="autoZero"/>
        <c:auto val="1"/>
        <c:lblAlgn val="ctr"/>
        <c:lblOffset val="100"/>
        <c:noMultiLvlLbl val="1"/>
      </c:catAx>
      <c:valAx>
        <c:axId val="940875784"/>
        <c:scaling>
          <c:orientation val="minMax"/>
          <c:max val="4000"/>
          <c:min val="0"/>
        </c:scaling>
        <c:delete val="0"/>
        <c:axPos val="l"/>
        <c:majorGridlines/>
        <c:numFmt formatCode="#,##0" sourceLinked="1"/>
        <c:majorTickMark val="out"/>
        <c:minorTickMark val="none"/>
        <c:tickLblPos val="nextTo"/>
        <c:crossAx val="940864024"/>
        <c:crosses val="autoZero"/>
        <c:crossBetween val="between"/>
        <c:majorUnit val="500"/>
      </c:valAx>
    </c:plotArea>
    <c:legend>
      <c:legendPos val="b"/>
      <c:layout>
        <c:manualLayout>
          <c:xMode val="edge"/>
          <c:yMode val="edge"/>
          <c:x val="0.22009046396297907"/>
          <c:y val="2.4453765423177759E-2"/>
          <c:w val="0.65948682443324869"/>
          <c:h val="7.7005822053656248E-2"/>
        </c:manualLayout>
      </c:layout>
      <c:overlay val="0"/>
    </c:legend>
    <c:plotVisOnly val="1"/>
    <c:dispBlanksAs val="gap"/>
    <c:showDLblsOverMax val="0"/>
  </c:chart>
  <c:spPr>
    <a:ln>
      <a:solidFill>
        <a:sysClr val="windowText" lastClr="000000"/>
      </a:solidFill>
    </a:ln>
  </c:sp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Gangs!$B$6</c:f>
              <c:strCache>
                <c:ptCount val="1"/>
                <c:pt idx="0">
                  <c:v>Croydon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Gangs!$A$7:$A$26</c:f>
              <c:numCache>
                <c:formatCode>mmm\-yy</c:formatCode>
                <c:ptCount val="20"/>
                <c:pt idx="0">
                  <c:v>41334</c:v>
                </c:pt>
                <c:pt idx="1">
                  <c:v>41426</c:v>
                </c:pt>
                <c:pt idx="2">
                  <c:v>41518</c:v>
                </c:pt>
                <c:pt idx="3">
                  <c:v>41609</c:v>
                </c:pt>
                <c:pt idx="4">
                  <c:v>41699</c:v>
                </c:pt>
                <c:pt idx="5">
                  <c:v>41791</c:v>
                </c:pt>
                <c:pt idx="6">
                  <c:v>41883</c:v>
                </c:pt>
                <c:pt idx="7">
                  <c:v>41974</c:v>
                </c:pt>
                <c:pt idx="8">
                  <c:v>42064</c:v>
                </c:pt>
                <c:pt idx="9">
                  <c:v>42156</c:v>
                </c:pt>
                <c:pt idx="10">
                  <c:v>42248</c:v>
                </c:pt>
                <c:pt idx="11">
                  <c:v>42339</c:v>
                </c:pt>
                <c:pt idx="12">
                  <c:v>42430</c:v>
                </c:pt>
                <c:pt idx="13">
                  <c:v>42522</c:v>
                </c:pt>
                <c:pt idx="14">
                  <c:v>42614</c:v>
                </c:pt>
                <c:pt idx="15">
                  <c:v>42705</c:v>
                </c:pt>
                <c:pt idx="16">
                  <c:v>42795</c:v>
                </c:pt>
                <c:pt idx="17">
                  <c:v>42887</c:v>
                </c:pt>
                <c:pt idx="18">
                  <c:v>42979</c:v>
                </c:pt>
                <c:pt idx="19">
                  <c:v>43070</c:v>
                </c:pt>
              </c:numCache>
            </c:numRef>
          </c:cat>
          <c:val>
            <c:numRef>
              <c:f>Gangs!$B$7:$B$26</c:f>
              <c:numCache>
                <c:formatCode>General</c:formatCode>
                <c:ptCount val="20"/>
                <c:pt idx="0">
                  <c:v>156</c:v>
                </c:pt>
                <c:pt idx="1">
                  <c:v>144</c:v>
                </c:pt>
                <c:pt idx="2">
                  <c:v>91</c:v>
                </c:pt>
                <c:pt idx="3">
                  <c:v>56</c:v>
                </c:pt>
                <c:pt idx="4">
                  <c:v>48</c:v>
                </c:pt>
                <c:pt idx="5">
                  <c:v>46</c:v>
                </c:pt>
                <c:pt idx="6">
                  <c:v>49</c:v>
                </c:pt>
                <c:pt idx="7">
                  <c:v>76</c:v>
                </c:pt>
                <c:pt idx="8">
                  <c:v>74</c:v>
                </c:pt>
                <c:pt idx="9">
                  <c:v>81</c:v>
                </c:pt>
                <c:pt idx="10">
                  <c:v>79</c:v>
                </c:pt>
                <c:pt idx="11">
                  <c:v>37</c:v>
                </c:pt>
                <c:pt idx="12">
                  <c:v>36</c:v>
                </c:pt>
                <c:pt idx="13">
                  <c:v>28</c:v>
                </c:pt>
                <c:pt idx="14">
                  <c:v>37</c:v>
                </c:pt>
                <c:pt idx="15">
                  <c:v>37</c:v>
                </c:pt>
                <c:pt idx="16">
                  <c:v>37</c:v>
                </c:pt>
                <c:pt idx="17">
                  <c:v>34</c:v>
                </c:pt>
                <c:pt idx="18">
                  <c:v>27</c:v>
                </c:pt>
                <c:pt idx="19">
                  <c:v>34</c:v>
                </c:pt>
              </c:numCache>
            </c:numRef>
          </c:val>
          <c:smooth val="0"/>
        </c:ser>
        <c:dLbls>
          <c:showLegendKey val="0"/>
          <c:showVal val="0"/>
          <c:showCatName val="0"/>
          <c:showSerName val="0"/>
          <c:showPercent val="0"/>
          <c:showBubbleSize val="0"/>
        </c:dLbls>
        <c:marker val="1"/>
        <c:smooth val="0"/>
        <c:axId val="940865592"/>
        <c:axId val="940865984"/>
      </c:lineChart>
      <c:dateAx>
        <c:axId val="940865592"/>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865984"/>
        <c:crosses val="autoZero"/>
        <c:auto val="1"/>
        <c:lblOffset val="100"/>
        <c:baseTimeUnit val="months"/>
      </c:dateAx>
      <c:valAx>
        <c:axId val="940865984"/>
        <c:scaling>
          <c:orientation val="minMax"/>
          <c:max val="2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865592"/>
        <c:crosses val="autoZero"/>
        <c:crossBetween val="between"/>
        <c:majorUnit val="20"/>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712724559736781"/>
          <c:y val="0.19102230584008856"/>
          <c:w val="0.77202663369001967"/>
          <c:h val="0.64428920942404322"/>
        </c:manualLayout>
      </c:layout>
      <c:barChart>
        <c:barDir val="col"/>
        <c:grouping val="clustered"/>
        <c:varyColors val="0"/>
        <c:ser>
          <c:idx val="0"/>
          <c:order val="0"/>
          <c:tx>
            <c:strRef>
              <c:f>Ch_Attainmt!$A$120</c:f>
              <c:strCache>
                <c:ptCount val="1"/>
                <c:pt idx="0">
                  <c:v>Croydon</c:v>
                </c:pt>
              </c:strCache>
            </c:strRef>
          </c:tx>
          <c:spPr>
            <a:solidFill>
              <a:srgbClr val="0070C0"/>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Ch_Attainmt!$B$119:$D$119</c:f>
              <c:numCache>
                <c:formatCode>0</c:formatCode>
                <c:ptCount val="3"/>
                <c:pt idx="0">
                  <c:v>2016</c:v>
                </c:pt>
                <c:pt idx="1">
                  <c:v>2017</c:v>
                </c:pt>
                <c:pt idx="2">
                  <c:v>2018</c:v>
                </c:pt>
              </c:numCache>
            </c:numRef>
          </c:cat>
          <c:val>
            <c:numRef>
              <c:f>Ch_Attainmt!$B$120:$D$120</c:f>
              <c:numCache>
                <c:formatCode>General</c:formatCode>
                <c:ptCount val="3"/>
                <c:pt idx="0">
                  <c:v>55</c:v>
                </c:pt>
                <c:pt idx="1">
                  <c:v>64</c:v>
                </c:pt>
                <c:pt idx="2">
                  <c:v>66</c:v>
                </c:pt>
              </c:numCache>
            </c:numRef>
          </c:val>
        </c:ser>
        <c:ser>
          <c:idx val="1"/>
          <c:order val="1"/>
          <c:tx>
            <c:strRef>
              <c:f>Ch_Attainmt!$A$121</c:f>
              <c:strCache>
                <c:ptCount val="1"/>
                <c:pt idx="0">
                  <c:v>Outer London</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Ch_Attainmt!$B$119:$D$119</c:f>
              <c:numCache>
                <c:formatCode>0</c:formatCode>
                <c:ptCount val="3"/>
                <c:pt idx="0">
                  <c:v>2016</c:v>
                </c:pt>
                <c:pt idx="1">
                  <c:v>2017</c:v>
                </c:pt>
                <c:pt idx="2">
                  <c:v>2018</c:v>
                </c:pt>
              </c:numCache>
            </c:numRef>
          </c:cat>
          <c:val>
            <c:numRef>
              <c:f>Ch_Attainmt!$B$121:$D$121</c:f>
              <c:numCache>
                <c:formatCode>General</c:formatCode>
                <c:ptCount val="3"/>
                <c:pt idx="0">
                  <c:v>59</c:v>
                </c:pt>
                <c:pt idx="1">
                  <c:v>67</c:v>
                </c:pt>
                <c:pt idx="2">
                  <c:v>68</c:v>
                </c:pt>
              </c:numCache>
            </c:numRef>
          </c:val>
        </c:ser>
        <c:ser>
          <c:idx val="2"/>
          <c:order val="2"/>
          <c:tx>
            <c:strRef>
              <c:f>Ch_Attainmt!$A$122</c:f>
              <c:strCache>
                <c:ptCount val="1"/>
                <c:pt idx="0">
                  <c:v>England</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Ch_Attainmt!$B$119:$D$119</c:f>
              <c:numCache>
                <c:formatCode>0</c:formatCode>
                <c:ptCount val="3"/>
                <c:pt idx="0">
                  <c:v>2016</c:v>
                </c:pt>
                <c:pt idx="1">
                  <c:v>2017</c:v>
                </c:pt>
                <c:pt idx="2">
                  <c:v>2018</c:v>
                </c:pt>
              </c:numCache>
            </c:numRef>
          </c:cat>
          <c:val>
            <c:numRef>
              <c:f>Ch_Attainmt!$B$122:$D$122</c:f>
              <c:numCache>
                <c:formatCode>General</c:formatCode>
                <c:ptCount val="3"/>
                <c:pt idx="0">
                  <c:v>53</c:v>
                </c:pt>
                <c:pt idx="1">
                  <c:v>61</c:v>
                </c:pt>
                <c:pt idx="2">
                  <c:v>64</c:v>
                </c:pt>
              </c:numCache>
            </c:numRef>
          </c:val>
        </c:ser>
        <c:dLbls>
          <c:showLegendKey val="0"/>
          <c:showVal val="0"/>
          <c:showCatName val="0"/>
          <c:showSerName val="0"/>
          <c:showPercent val="0"/>
          <c:showBubbleSize val="0"/>
        </c:dLbls>
        <c:gapWidth val="219"/>
        <c:overlap val="-27"/>
        <c:axId val="558160848"/>
        <c:axId val="558832304"/>
      </c:barChart>
      <c:catAx>
        <c:axId val="558160848"/>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58832304"/>
        <c:crosses val="autoZero"/>
        <c:auto val="1"/>
        <c:lblAlgn val="ctr"/>
        <c:lblOffset val="100"/>
        <c:noMultiLvlLbl val="0"/>
      </c:catAx>
      <c:valAx>
        <c:axId val="558832304"/>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58160848"/>
        <c:crosses val="autoZero"/>
        <c:crossBetween val="between"/>
      </c:valAx>
      <c:spPr>
        <a:noFill/>
        <a:ln>
          <a:noFill/>
        </a:ln>
        <a:effectLst/>
      </c:spPr>
    </c:plotArea>
    <c:legend>
      <c:legendPos val="b"/>
      <c:layout>
        <c:manualLayout>
          <c:xMode val="edge"/>
          <c:yMode val="edge"/>
          <c:x val="0.23138552963898376"/>
          <c:y val="4.4218993672741805E-2"/>
          <c:w val="0.66728961521319274"/>
          <c:h val="9.909446694230678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200"/>
      </a:pPr>
      <a:endParaRPr lang="en-US"/>
    </a:p>
  </c:txPr>
  <c:externalData r:id="rId4">
    <c:autoUpdate val="0"/>
  </c:externalData>
  <c:userShapes r:id="rId5"/>
</c:chartSpace>
</file>

<file path=word/charts/chart6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Gangs!$N$6</c:f>
              <c:strCache>
                <c:ptCount val="1"/>
                <c:pt idx="0">
                  <c:v>Croydon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Gangs!$M$7:$M$26</c:f>
              <c:numCache>
                <c:formatCode>mmm\-yy</c:formatCode>
                <c:ptCount val="20"/>
                <c:pt idx="0">
                  <c:v>41334</c:v>
                </c:pt>
                <c:pt idx="1">
                  <c:v>41426</c:v>
                </c:pt>
                <c:pt idx="2">
                  <c:v>41518</c:v>
                </c:pt>
                <c:pt idx="3">
                  <c:v>41609</c:v>
                </c:pt>
                <c:pt idx="4">
                  <c:v>41699</c:v>
                </c:pt>
                <c:pt idx="5">
                  <c:v>41791</c:v>
                </c:pt>
                <c:pt idx="6">
                  <c:v>41883</c:v>
                </c:pt>
                <c:pt idx="7">
                  <c:v>41974</c:v>
                </c:pt>
                <c:pt idx="8">
                  <c:v>42064</c:v>
                </c:pt>
                <c:pt idx="9">
                  <c:v>42156</c:v>
                </c:pt>
                <c:pt idx="10">
                  <c:v>42248</c:v>
                </c:pt>
                <c:pt idx="11">
                  <c:v>42339</c:v>
                </c:pt>
                <c:pt idx="12">
                  <c:v>42430</c:v>
                </c:pt>
                <c:pt idx="13">
                  <c:v>42522</c:v>
                </c:pt>
                <c:pt idx="14">
                  <c:v>42614</c:v>
                </c:pt>
                <c:pt idx="15">
                  <c:v>42705</c:v>
                </c:pt>
                <c:pt idx="16">
                  <c:v>42795</c:v>
                </c:pt>
                <c:pt idx="17">
                  <c:v>42887</c:v>
                </c:pt>
                <c:pt idx="18">
                  <c:v>42979</c:v>
                </c:pt>
                <c:pt idx="19">
                  <c:v>43070</c:v>
                </c:pt>
              </c:numCache>
            </c:numRef>
          </c:cat>
          <c:val>
            <c:numRef>
              <c:f>Gangs!$N$7:$N$26</c:f>
              <c:numCache>
                <c:formatCode>General</c:formatCode>
                <c:ptCount val="20"/>
                <c:pt idx="0">
                  <c:v>317</c:v>
                </c:pt>
                <c:pt idx="1">
                  <c:v>318</c:v>
                </c:pt>
                <c:pt idx="2">
                  <c:v>318</c:v>
                </c:pt>
                <c:pt idx="3">
                  <c:v>310</c:v>
                </c:pt>
                <c:pt idx="4">
                  <c:v>338</c:v>
                </c:pt>
                <c:pt idx="5">
                  <c:v>352</c:v>
                </c:pt>
                <c:pt idx="6">
                  <c:v>376</c:v>
                </c:pt>
                <c:pt idx="7">
                  <c:v>386</c:v>
                </c:pt>
                <c:pt idx="8">
                  <c:v>348</c:v>
                </c:pt>
                <c:pt idx="9">
                  <c:v>341</c:v>
                </c:pt>
                <c:pt idx="10">
                  <c:v>320</c:v>
                </c:pt>
                <c:pt idx="11">
                  <c:v>327</c:v>
                </c:pt>
                <c:pt idx="12">
                  <c:v>328</c:v>
                </c:pt>
                <c:pt idx="13">
                  <c:v>312</c:v>
                </c:pt>
                <c:pt idx="14">
                  <c:v>376</c:v>
                </c:pt>
                <c:pt idx="15">
                  <c:v>386</c:v>
                </c:pt>
                <c:pt idx="16">
                  <c:v>451</c:v>
                </c:pt>
                <c:pt idx="17">
                  <c:v>477</c:v>
                </c:pt>
                <c:pt idx="18">
                  <c:v>438</c:v>
                </c:pt>
                <c:pt idx="19">
                  <c:v>472</c:v>
                </c:pt>
              </c:numCache>
            </c:numRef>
          </c:val>
          <c:smooth val="0"/>
        </c:ser>
        <c:dLbls>
          <c:showLegendKey val="0"/>
          <c:showVal val="0"/>
          <c:showCatName val="0"/>
          <c:showSerName val="0"/>
          <c:showPercent val="0"/>
          <c:showBubbleSize val="0"/>
        </c:dLbls>
        <c:marker val="1"/>
        <c:smooth val="0"/>
        <c:axId val="940866376"/>
        <c:axId val="940867552"/>
      </c:lineChart>
      <c:dateAx>
        <c:axId val="940866376"/>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867552"/>
        <c:crosses val="autoZero"/>
        <c:auto val="1"/>
        <c:lblOffset val="100"/>
        <c:baseTimeUnit val="months"/>
      </c:dateAx>
      <c:valAx>
        <c:axId val="940867552"/>
        <c:scaling>
          <c:orientation val="minMax"/>
          <c:max val="500"/>
          <c:min val="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866376"/>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17643737928986"/>
          <c:y val="0.14204454924417867"/>
          <c:w val="0.79906129846976659"/>
          <c:h val="0.7664410290959619"/>
        </c:manualLayout>
      </c:layout>
      <c:barChart>
        <c:barDir val="bar"/>
        <c:grouping val="stacked"/>
        <c:varyColors val="0"/>
        <c:ser>
          <c:idx val="0"/>
          <c:order val="0"/>
          <c:tx>
            <c:strRef>
              <c:f>'knife Crimes'!$B$40</c:f>
              <c:strCache>
                <c:ptCount val="1"/>
                <c:pt idx="0">
                  <c:v>Knife crimes with injuries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'knife Crimes'!$A$47:$A$58</c:f>
              <c:numCache>
                <c:formatCode>mmm\-yy</c:formatCode>
                <c:ptCount val="12"/>
                <c:pt idx="0">
                  <c:v>43009</c:v>
                </c:pt>
                <c:pt idx="1">
                  <c:v>43040</c:v>
                </c:pt>
                <c:pt idx="2">
                  <c:v>43070</c:v>
                </c:pt>
                <c:pt idx="3">
                  <c:v>43101</c:v>
                </c:pt>
                <c:pt idx="4">
                  <c:v>43132</c:v>
                </c:pt>
                <c:pt idx="5">
                  <c:v>43160</c:v>
                </c:pt>
                <c:pt idx="6">
                  <c:v>43191</c:v>
                </c:pt>
                <c:pt idx="7">
                  <c:v>43221</c:v>
                </c:pt>
                <c:pt idx="8">
                  <c:v>43252</c:v>
                </c:pt>
                <c:pt idx="9">
                  <c:v>43282</c:v>
                </c:pt>
                <c:pt idx="10">
                  <c:v>43313</c:v>
                </c:pt>
                <c:pt idx="11">
                  <c:v>43344</c:v>
                </c:pt>
              </c:numCache>
            </c:numRef>
          </c:cat>
          <c:val>
            <c:numRef>
              <c:f>'knife Crimes'!$B$47:$B$58</c:f>
              <c:numCache>
                <c:formatCode>General</c:formatCode>
                <c:ptCount val="12"/>
                <c:pt idx="0">
                  <c:v>202</c:v>
                </c:pt>
                <c:pt idx="1">
                  <c:v>199</c:v>
                </c:pt>
                <c:pt idx="2">
                  <c:v>206</c:v>
                </c:pt>
                <c:pt idx="3">
                  <c:v>198</c:v>
                </c:pt>
                <c:pt idx="4">
                  <c:v>193</c:v>
                </c:pt>
                <c:pt idx="5">
                  <c:v>184</c:v>
                </c:pt>
                <c:pt idx="6">
                  <c:v>188</c:v>
                </c:pt>
                <c:pt idx="7">
                  <c:v>189</c:v>
                </c:pt>
                <c:pt idx="8">
                  <c:v>189</c:v>
                </c:pt>
                <c:pt idx="9">
                  <c:v>199</c:v>
                </c:pt>
                <c:pt idx="10">
                  <c:v>201</c:v>
                </c:pt>
                <c:pt idx="11">
                  <c:v>180</c:v>
                </c:pt>
              </c:numCache>
            </c:numRef>
          </c:val>
        </c:ser>
        <c:ser>
          <c:idx val="1"/>
          <c:order val="1"/>
          <c:tx>
            <c:strRef>
              <c:f>'knife Crimes'!$C$40</c:f>
              <c:strCache>
                <c:ptCount val="1"/>
                <c:pt idx="0">
                  <c:v>Knife crimes no injuries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'knife Crimes'!$A$47:$A$58</c:f>
              <c:numCache>
                <c:formatCode>mmm\-yy</c:formatCode>
                <c:ptCount val="12"/>
                <c:pt idx="0">
                  <c:v>43009</c:v>
                </c:pt>
                <c:pt idx="1">
                  <c:v>43040</c:v>
                </c:pt>
                <c:pt idx="2">
                  <c:v>43070</c:v>
                </c:pt>
                <c:pt idx="3">
                  <c:v>43101</c:v>
                </c:pt>
                <c:pt idx="4">
                  <c:v>43132</c:v>
                </c:pt>
                <c:pt idx="5">
                  <c:v>43160</c:v>
                </c:pt>
                <c:pt idx="6">
                  <c:v>43191</c:v>
                </c:pt>
                <c:pt idx="7">
                  <c:v>43221</c:v>
                </c:pt>
                <c:pt idx="8">
                  <c:v>43252</c:v>
                </c:pt>
                <c:pt idx="9">
                  <c:v>43282</c:v>
                </c:pt>
                <c:pt idx="10">
                  <c:v>43313</c:v>
                </c:pt>
                <c:pt idx="11">
                  <c:v>43344</c:v>
                </c:pt>
              </c:numCache>
            </c:numRef>
          </c:cat>
          <c:val>
            <c:numRef>
              <c:f>'knife Crimes'!$C$47:$C$58</c:f>
              <c:numCache>
                <c:formatCode>#,##0</c:formatCode>
                <c:ptCount val="12"/>
                <c:pt idx="0">
                  <c:v>406</c:v>
                </c:pt>
                <c:pt idx="1">
                  <c:v>415</c:v>
                </c:pt>
                <c:pt idx="2">
                  <c:v>441</c:v>
                </c:pt>
                <c:pt idx="3">
                  <c:v>439</c:v>
                </c:pt>
                <c:pt idx="4">
                  <c:v>435</c:v>
                </c:pt>
                <c:pt idx="5">
                  <c:v>425</c:v>
                </c:pt>
                <c:pt idx="6">
                  <c:v>421</c:v>
                </c:pt>
                <c:pt idx="7">
                  <c:v>432</c:v>
                </c:pt>
                <c:pt idx="8">
                  <c:v>440</c:v>
                </c:pt>
                <c:pt idx="9">
                  <c:v>426</c:v>
                </c:pt>
                <c:pt idx="10">
                  <c:v>418</c:v>
                </c:pt>
                <c:pt idx="11">
                  <c:v>413</c:v>
                </c:pt>
              </c:numCache>
            </c:numRef>
          </c:val>
        </c:ser>
        <c:dLbls>
          <c:showLegendKey val="0"/>
          <c:showVal val="0"/>
          <c:showCatName val="0"/>
          <c:showSerName val="0"/>
          <c:showPercent val="0"/>
          <c:showBubbleSize val="0"/>
        </c:dLbls>
        <c:gapWidth val="22"/>
        <c:overlap val="100"/>
        <c:axId val="940879704"/>
        <c:axId val="940877352"/>
      </c:barChart>
      <c:dateAx>
        <c:axId val="940879704"/>
        <c:scaling>
          <c:orientation val="minMax"/>
        </c:scaling>
        <c:delete val="0"/>
        <c:axPos val="l"/>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en-US"/>
          </a:p>
        </c:txPr>
        <c:crossAx val="940877352"/>
        <c:crosses val="autoZero"/>
        <c:auto val="1"/>
        <c:lblOffset val="100"/>
        <c:baseTimeUnit val="months"/>
      </c:dateAx>
      <c:valAx>
        <c:axId val="94087735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879704"/>
        <c:crosses val="autoZero"/>
        <c:crossBetween val="between"/>
      </c:valAx>
      <c:spPr>
        <a:noFill/>
        <a:ln>
          <a:noFill/>
        </a:ln>
        <a:effectLst/>
      </c:spPr>
    </c:plotArea>
    <c:legend>
      <c:legendPos val="b"/>
      <c:layout>
        <c:manualLayout>
          <c:xMode val="edge"/>
          <c:yMode val="edge"/>
          <c:x val="9.3538189801746482E-2"/>
          <c:y val="5.1901834463205468E-2"/>
          <c:w val="0.80515195034582943"/>
          <c:h val="6.398491632396217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3">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All Hate crime</a:t>
            </a:r>
          </a:p>
        </c:rich>
      </c:tx>
      <c:layout>
        <c:manualLayout>
          <c:xMode val="edge"/>
          <c:yMode val="edge"/>
          <c:x val="1.8312335958005251E-2"/>
          <c:y val="1.388908244876470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5358705161854769E-2"/>
          <c:y val="0.25504629629629627"/>
          <c:w val="0.90719685039370079"/>
          <c:h val="0.5794535578885972"/>
        </c:manualLayout>
      </c:layout>
      <c:barChart>
        <c:barDir val="col"/>
        <c:grouping val="clustered"/>
        <c:varyColors val="0"/>
        <c:ser>
          <c:idx val="0"/>
          <c:order val="0"/>
          <c:tx>
            <c:strRef>
              <c:f>Hate!$B$8</c:f>
              <c:strCache>
                <c:ptCount val="1"/>
                <c:pt idx="0">
                  <c:v>Current year</c:v>
                </c:pt>
              </c:strCache>
            </c:strRef>
          </c:tx>
          <c:spPr>
            <a:solidFill>
              <a:schemeClr val="accent1"/>
            </a:solidFill>
            <a:ln>
              <a:noFill/>
            </a:ln>
            <a:effectLst/>
          </c:spPr>
          <c:invertIfNegative val="0"/>
          <c:cat>
            <c:numRef>
              <c:f>Hate!$C$7:$N$7</c:f>
              <c:numCache>
                <c:formatCode>mmm\-yy</c:formatCode>
                <c:ptCount val="12"/>
                <c:pt idx="0">
                  <c:v>43191</c:v>
                </c:pt>
                <c:pt idx="1">
                  <c:v>43221</c:v>
                </c:pt>
                <c:pt idx="2">
                  <c:v>43252</c:v>
                </c:pt>
                <c:pt idx="3">
                  <c:v>43282</c:v>
                </c:pt>
                <c:pt idx="4">
                  <c:v>43313</c:v>
                </c:pt>
                <c:pt idx="5">
                  <c:v>43344</c:v>
                </c:pt>
                <c:pt idx="6">
                  <c:v>43374</c:v>
                </c:pt>
                <c:pt idx="7">
                  <c:v>43405</c:v>
                </c:pt>
                <c:pt idx="8">
                  <c:v>43435</c:v>
                </c:pt>
                <c:pt idx="9">
                  <c:v>43466</c:v>
                </c:pt>
                <c:pt idx="10">
                  <c:v>43497</c:v>
                </c:pt>
                <c:pt idx="11">
                  <c:v>43525</c:v>
                </c:pt>
              </c:numCache>
            </c:numRef>
          </c:cat>
          <c:val>
            <c:numRef>
              <c:f>Hate!$C$8:$N$8</c:f>
              <c:numCache>
                <c:formatCode>#,##0</c:formatCode>
                <c:ptCount val="12"/>
                <c:pt idx="0">
                  <c:v>1188</c:v>
                </c:pt>
                <c:pt idx="1">
                  <c:v>1175</c:v>
                </c:pt>
                <c:pt idx="2">
                  <c:v>1145</c:v>
                </c:pt>
                <c:pt idx="3">
                  <c:v>1130</c:v>
                </c:pt>
                <c:pt idx="4">
                  <c:v>1121</c:v>
                </c:pt>
                <c:pt idx="5">
                  <c:v>1096</c:v>
                </c:pt>
                <c:pt idx="6">
                  <c:v>1064</c:v>
                </c:pt>
                <c:pt idx="7">
                  <c:v>0</c:v>
                </c:pt>
                <c:pt idx="8">
                  <c:v>0</c:v>
                </c:pt>
                <c:pt idx="9">
                  <c:v>0</c:v>
                </c:pt>
                <c:pt idx="10">
                  <c:v>0</c:v>
                </c:pt>
                <c:pt idx="11">
                  <c:v>0</c:v>
                </c:pt>
              </c:numCache>
            </c:numRef>
          </c:val>
        </c:ser>
        <c:dLbls>
          <c:showLegendKey val="0"/>
          <c:showVal val="0"/>
          <c:showCatName val="0"/>
          <c:showSerName val="0"/>
          <c:showPercent val="0"/>
          <c:showBubbleSize val="0"/>
        </c:dLbls>
        <c:gapWidth val="150"/>
        <c:axId val="940878920"/>
        <c:axId val="940878528"/>
      </c:barChart>
      <c:lineChart>
        <c:grouping val="standard"/>
        <c:varyColors val="0"/>
        <c:ser>
          <c:idx val="1"/>
          <c:order val="1"/>
          <c:tx>
            <c:strRef>
              <c:f>Hate!$B$9</c:f>
              <c:strCache>
                <c:ptCount val="1"/>
                <c:pt idx="0">
                  <c:v>Previous year</c:v>
                </c:pt>
              </c:strCache>
            </c:strRef>
          </c:tx>
          <c:spPr>
            <a:ln w="28575" cap="rnd">
              <a:solidFill>
                <a:schemeClr val="accent2"/>
              </a:solidFill>
              <a:round/>
            </a:ln>
            <a:effectLst/>
          </c:spPr>
          <c:marker>
            <c:symbol val="none"/>
          </c:marker>
          <c:cat>
            <c:numRef>
              <c:f>Hate!$C$7:$N$7</c:f>
              <c:numCache>
                <c:formatCode>mmm\-yy</c:formatCode>
                <c:ptCount val="12"/>
                <c:pt idx="0">
                  <c:v>43191</c:v>
                </c:pt>
                <c:pt idx="1">
                  <c:v>43221</c:v>
                </c:pt>
                <c:pt idx="2">
                  <c:v>43252</c:v>
                </c:pt>
                <c:pt idx="3">
                  <c:v>43282</c:v>
                </c:pt>
                <c:pt idx="4">
                  <c:v>43313</c:v>
                </c:pt>
                <c:pt idx="5">
                  <c:v>43344</c:v>
                </c:pt>
                <c:pt idx="6">
                  <c:v>43374</c:v>
                </c:pt>
                <c:pt idx="7">
                  <c:v>43405</c:v>
                </c:pt>
                <c:pt idx="8">
                  <c:v>43435</c:v>
                </c:pt>
                <c:pt idx="9">
                  <c:v>43466</c:v>
                </c:pt>
                <c:pt idx="10">
                  <c:v>43497</c:v>
                </c:pt>
                <c:pt idx="11">
                  <c:v>43525</c:v>
                </c:pt>
              </c:numCache>
            </c:numRef>
          </c:cat>
          <c:val>
            <c:numRef>
              <c:f>Hate!$C$9:$N$9</c:f>
              <c:numCache>
                <c:formatCode>#,##0</c:formatCode>
                <c:ptCount val="12"/>
                <c:pt idx="0">
                  <c:v>1421</c:v>
                </c:pt>
                <c:pt idx="1">
                  <c:v>1422</c:v>
                </c:pt>
                <c:pt idx="2">
                  <c:v>1445</c:v>
                </c:pt>
                <c:pt idx="3">
                  <c:v>1358</c:v>
                </c:pt>
                <c:pt idx="4">
                  <c:v>1319</c:v>
                </c:pt>
                <c:pt idx="5">
                  <c:v>1272</c:v>
                </c:pt>
                <c:pt idx="6">
                  <c:v>1240</c:v>
                </c:pt>
                <c:pt idx="7">
                  <c:v>1214</c:v>
                </c:pt>
                <c:pt idx="8">
                  <c:v>1189</c:v>
                </c:pt>
                <c:pt idx="9">
                  <c:v>1192</c:v>
                </c:pt>
                <c:pt idx="10">
                  <c:v>1202</c:v>
                </c:pt>
                <c:pt idx="11">
                  <c:v>1204</c:v>
                </c:pt>
              </c:numCache>
            </c:numRef>
          </c:val>
          <c:smooth val="0"/>
        </c:ser>
        <c:dLbls>
          <c:showLegendKey val="0"/>
          <c:showVal val="0"/>
          <c:showCatName val="0"/>
          <c:showSerName val="0"/>
          <c:showPercent val="0"/>
          <c:showBubbleSize val="0"/>
        </c:dLbls>
        <c:marker val="1"/>
        <c:smooth val="0"/>
        <c:axId val="940878920"/>
        <c:axId val="940878528"/>
      </c:lineChart>
      <c:dateAx>
        <c:axId val="94087892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878528"/>
        <c:crosses val="autoZero"/>
        <c:auto val="1"/>
        <c:lblOffset val="100"/>
        <c:baseTimeUnit val="months"/>
      </c:dateAx>
      <c:valAx>
        <c:axId val="940878528"/>
        <c:scaling>
          <c:orientation val="minMax"/>
          <c:max val="16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878920"/>
        <c:crosses val="autoZero"/>
        <c:crossBetween val="between"/>
      </c:valAx>
      <c:spPr>
        <a:noFill/>
        <a:ln>
          <a:noFill/>
        </a:ln>
        <a:effectLst/>
      </c:spPr>
    </c:plotArea>
    <c:legend>
      <c:legendPos val="b"/>
      <c:layout>
        <c:manualLayout>
          <c:xMode val="edge"/>
          <c:yMode val="edge"/>
          <c:x val="0.27470494313210853"/>
          <c:y val="0.13483741615631378"/>
          <c:w val="0.56409435335993963"/>
          <c:h val="9.4033476078648051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Racist</a:t>
            </a:r>
          </a:p>
        </c:rich>
      </c:tx>
      <c:layout>
        <c:manualLayout>
          <c:xMode val="edge"/>
          <c:yMode val="edge"/>
          <c:x val="1.8312335958005251E-2"/>
          <c:y val="1.388908244876470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5358705161854769E-2"/>
          <c:y val="0.25504629629629627"/>
          <c:w val="0.90719685039370079"/>
          <c:h val="0.5794535578885972"/>
        </c:manualLayout>
      </c:layout>
      <c:barChart>
        <c:barDir val="col"/>
        <c:grouping val="clustered"/>
        <c:varyColors val="0"/>
        <c:ser>
          <c:idx val="0"/>
          <c:order val="0"/>
          <c:tx>
            <c:strRef>
              <c:f>Hate!$B$28</c:f>
              <c:strCache>
                <c:ptCount val="1"/>
                <c:pt idx="0">
                  <c:v>Current year</c:v>
                </c:pt>
              </c:strCache>
            </c:strRef>
          </c:tx>
          <c:spPr>
            <a:solidFill>
              <a:schemeClr val="accent1"/>
            </a:solidFill>
            <a:ln>
              <a:noFill/>
            </a:ln>
            <a:effectLst/>
          </c:spPr>
          <c:invertIfNegative val="0"/>
          <c:cat>
            <c:numRef>
              <c:f>Hate!$C$27:$N$27</c:f>
              <c:numCache>
                <c:formatCode>mmm\-yy</c:formatCode>
                <c:ptCount val="12"/>
                <c:pt idx="0">
                  <c:v>43191</c:v>
                </c:pt>
                <c:pt idx="1">
                  <c:v>43221</c:v>
                </c:pt>
                <c:pt idx="2">
                  <c:v>43252</c:v>
                </c:pt>
                <c:pt idx="3">
                  <c:v>43282</c:v>
                </c:pt>
                <c:pt idx="4">
                  <c:v>43313</c:v>
                </c:pt>
                <c:pt idx="5">
                  <c:v>43344</c:v>
                </c:pt>
                <c:pt idx="6">
                  <c:v>43374</c:v>
                </c:pt>
                <c:pt idx="7">
                  <c:v>43405</c:v>
                </c:pt>
                <c:pt idx="8">
                  <c:v>43435</c:v>
                </c:pt>
                <c:pt idx="9">
                  <c:v>43466</c:v>
                </c:pt>
                <c:pt idx="10">
                  <c:v>43497</c:v>
                </c:pt>
                <c:pt idx="11">
                  <c:v>43525</c:v>
                </c:pt>
              </c:numCache>
            </c:numRef>
          </c:cat>
          <c:val>
            <c:numRef>
              <c:f>Hate!$C$28:$N$28</c:f>
              <c:numCache>
                <c:formatCode>#,##0</c:formatCode>
                <c:ptCount val="12"/>
                <c:pt idx="0">
                  <c:v>570</c:v>
                </c:pt>
                <c:pt idx="1">
                  <c:v>567</c:v>
                </c:pt>
                <c:pt idx="2">
                  <c:v>558</c:v>
                </c:pt>
                <c:pt idx="3">
                  <c:v>543</c:v>
                </c:pt>
                <c:pt idx="4">
                  <c:v>539</c:v>
                </c:pt>
                <c:pt idx="5">
                  <c:v>537</c:v>
                </c:pt>
                <c:pt idx="6">
                  <c:v>524</c:v>
                </c:pt>
              </c:numCache>
            </c:numRef>
          </c:val>
        </c:ser>
        <c:dLbls>
          <c:showLegendKey val="0"/>
          <c:showVal val="0"/>
          <c:showCatName val="0"/>
          <c:showSerName val="0"/>
          <c:showPercent val="0"/>
          <c:showBubbleSize val="0"/>
        </c:dLbls>
        <c:gapWidth val="150"/>
        <c:axId val="940876960"/>
        <c:axId val="940876568"/>
      </c:barChart>
      <c:lineChart>
        <c:grouping val="standard"/>
        <c:varyColors val="0"/>
        <c:ser>
          <c:idx val="1"/>
          <c:order val="1"/>
          <c:tx>
            <c:strRef>
              <c:f>Hate!$B$29</c:f>
              <c:strCache>
                <c:ptCount val="1"/>
                <c:pt idx="0">
                  <c:v>Previous year</c:v>
                </c:pt>
              </c:strCache>
            </c:strRef>
          </c:tx>
          <c:spPr>
            <a:ln w="28575" cap="rnd">
              <a:solidFill>
                <a:schemeClr val="accent2"/>
              </a:solidFill>
              <a:round/>
            </a:ln>
            <a:effectLst/>
          </c:spPr>
          <c:marker>
            <c:symbol val="none"/>
          </c:marker>
          <c:cat>
            <c:numRef>
              <c:f>Hate!$C$27:$N$27</c:f>
              <c:numCache>
                <c:formatCode>mmm\-yy</c:formatCode>
                <c:ptCount val="12"/>
                <c:pt idx="0">
                  <c:v>43191</c:v>
                </c:pt>
                <c:pt idx="1">
                  <c:v>43221</c:v>
                </c:pt>
                <c:pt idx="2">
                  <c:v>43252</c:v>
                </c:pt>
                <c:pt idx="3">
                  <c:v>43282</c:v>
                </c:pt>
                <c:pt idx="4">
                  <c:v>43313</c:v>
                </c:pt>
                <c:pt idx="5">
                  <c:v>43344</c:v>
                </c:pt>
                <c:pt idx="6">
                  <c:v>43374</c:v>
                </c:pt>
                <c:pt idx="7">
                  <c:v>43405</c:v>
                </c:pt>
                <c:pt idx="8">
                  <c:v>43435</c:v>
                </c:pt>
                <c:pt idx="9">
                  <c:v>43466</c:v>
                </c:pt>
                <c:pt idx="10">
                  <c:v>43497</c:v>
                </c:pt>
                <c:pt idx="11">
                  <c:v>43525</c:v>
                </c:pt>
              </c:numCache>
            </c:numRef>
          </c:cat>
          <c:val>
            <c:numRef>
              <c:f>Hate!$C$29:$N$29</c:f>
              <c:numCache>
                <c:formatCode>#,##0</c:formatCode>
                <c:ptCount val="12"/>
                <c:pt idx="0">
                  <c:v>594</c:v>
                </c:pt>
                <c:pt idx="1">
                  <c:v>606</c:v>
                </c:pt>
                <c:pt idx="2">
                  <c:v>621</c:v>
                </c:pt>
                <c:pt idx="3">
                  <c:v>588</c:v>
                </c:pt>
                <c:pt idx="4">
                  <c:v>582</c:v>
                </c:pt>
                <c:pt idx="5">
                  <c:v>577</c:v>
                </c:pt>
                <c:pt idx="6">
                  <c:v>584</c:v>
                </c:pt>
                <c:pt idx="7">
                  <c:v>594</c:v>
                </c:pt>
                <c:pt idx="8">
                  <c:v>582</c:v>
                </c:pt>
                <c:pt idx="9">
                  <c:v>580</c:v>
                </c:pt>
                <c:pt idx="10">
                  <c:v>591</c:v>
                </c:pt>
                <c:pt idx="11">
                  <c:v>576</c:v>
                </c:pt>
              </c:numCache>
            </c:numRef>
          </c:val>
          <c:smooth val="0"/>
        </c:ser>
        <c:dLbls>
          <c:showLegendKey val="0"/>
          <c:showVal val="0"/>
          <c:showCatName val="0"/>
          <c:showSerName val="0"/>
          <c:showPercent val="0"/>
          <c:showBubbleSize val="0"/>
        </c:dLbls>
        <c:marker val="1"/>
        <c:smooth val="0"/>
        <c:axId val="940876960"/>
        <c:axId val="940876568"/>
      </c:lineChart>
      <c:dateAx>
        <c:axId val="94087696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876568"/>
        <c:crosses val="autoZero"/>
        <c:auto val="1"/>
        <c:lblOffset val="100"/>
        <c:baseTimeUnit val="months"/>
      </c:dateAx>
      <c:valAx>
        <c:axId val="940876568"/>
        <c:scaling>
          <c:orientation val="minMax"/>
          <c:max val="1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876960"/>
        <c:crosses val="autoZero"/>
        <c:crossBetween val="between"/>
      </c:valAx>
      <c:spPr>
        <a:noFill/>
        <a:ln>
          <a:noFill/>
        </a:ln>
        <a:effectLst/>
      </c:spPr>
    </c:plotArea>
    <c:legend>
      <c:legendPos val="b"/>
      <c:layout>
        <c:manualLayout>
          <c:xMode val="edge"/>
          <c:yMode val="edge"/>
          <c:x val="0.27470494313210853"/>
          <c:y val="0.13483741615631378"/>
          <c:w val="0.56409435335993963"/>
          <c:h val="9.4033476078648051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Disability</a:t>
            </a:r>
          </a:p>
        </c:rich>
      </c:tx>
      <c:layout>
        <c:manualLayout>
          <c:xMode val="edge"/>
          <c:yMode val="edge"/>
          <c:x val="1.2756780402449723E-2"/>
          <c:y val="1.851851851851851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3914260717410324E-2"/>
          <c:y val="0.25967592592592598"/>
          <c:w val="0.90719685039370079"/>
          <c:h val="0.5794535578885972"/>
        </c:manualLayout>
      </c:layout>
      <c:barChart>
        <c:barDir val="col"/>
        <c:grouping val="clustered"/>
        <c:varyColors val="0"/>
        <c:ser>
          <c:idx val="0"/>
          <c:order val="0"/>
          <c:tx>
            <c:strRef>
              <c:f>Hate!$B$46</c:f>
              <c:strCache>
                <c:ptCount val="1"/>
                <c:pt idx="0">
                  <c:v>Current year</c:v>
                </c:pt>
              </c:strCache>
            </c:strRef>
          </c:tx>
          <c:spPr>
            <a:solidFill>
              <a:schemeClr val="accent1"/>
            </a:solidFill>
            <a:ln>
              <a:noFill/>
            </a:ln>
            <a:effectLst/>
          </c:spPr>
          <c:invertIfNegative val="0"/>
          <c:cat>
            <c:numRef>
              <c:f>Hate!$C$45:$N$45</c:f>
              <c:numCache>
                <c:formatCode>mmm\-yy</c:formatCode>
                <c:ptCount val="12"/>
                <c:pt idx="0">
                  <c:v>43191</c:v>
                </c:pt>
                <c:pt idx="1">
                  <c:v>43221</c:v>
                </c:pt>
                <c:pt idx="2">
                  <c:v>43252</c:v>
                </c:pt>
                <c:pt idx="3">
                  <c:v>43282</c:v>
                </c:pt>
                <c:pt idx="4">
                  <c:v>43313</c:v>
                </c:pt>
                <c:pt idx="5">
                  <c:v>43344</c:v>
                </c:pt>
                <c:pt idx="6">
                  <c:v>43374</c:v>
                </c:pt>
                <c:pt idx="7">
                  <c:v>43405</c:v>
                </c:pt>
                <c:pt idx="8">
                  <c:v>43435</c:v>
                </c:pt>
                <c:pt idx="9">
                  <c:v>43466</c:v>
                </c:pt>
                <c:pt idx="10">
                  <c:v>43497</c:v>
                </c:pt>
                <c:pt idx="11">
                  <c:v>43525</c:v>
                </c:pt>
              </c:numCache>
            </c:numRef>
          </c:cat>
          <c:val>
            <c:numRef>
              <c:f>Hate!$C$46:$N$46</c:f>
              <c:numCache>
                <c:formatCode>#,##0</c:formatCode>
                <c:ptCount val="12"/>
                <c:pt idx="0">
                  <c:v>440</c:v>
                </c:pt>
                <c:pt idx="1">
                  <c:v>442</c:v>
                </c:pt>
                <c:pt idx="2">
                  <c:v>435</c:v>
                </c:pt>
                <c:pt idx="3">
                  <c:v>437</c:v>
                </c:pt>
                <c:pt idx="4">
                  <c:v>428</c:v>
                </c:pt>
                <c:pt idx="5">
                  <c:v>406</c:v>
                </c:pt>
                <c:pt idx="6">
                  <c:v>388</c:v>
                </c:pt>
              </c:numCache>
            </c:numRef>
          </c:val>
        </c:ser>
        <c:dLbls>
          <c:showLegendKey val="0"/>
          <c:showVal val="0"/>
          <c:showCatName val="0"/>
          <c:showSerName val="0"/>
          <c:showPercent val="0"/>
          <c:showBubbleSize val="0"/>
        </c:dLbls>
        <c:gapWidth val="150"/>
        <c:axId val="940138008"/>
        <c:axId val="940134872"/>
      </c:barChart>
      <c:lineChart>
        <c:grouping val="standard"/>
        <c:varyColors val="0"/>
        <c:ser>
          <c:idx val="1"/>
          <c:order val="1"/>
          <c:tx>
            <c:strRef>
              <c:f>Hate!$B$47</c:f>
              <c:strCache>
                <c:ptCount val="1"/>
                <c:pt idx="0">
                  <c:v>Previous year</c:v>
                </c:pt>
              </c:strCache>
            </c:strRef>
          </c:tx>
          <c:spPr>
            <a:ln w="28575" cap="rnd">
              <a:solidFill>
                <a:schemeClr val="accent2"/>
              </a:solidFill>
              <a:round/>
            </a:ln>
            <a:effectLst/>
          </c:spPr>
          <c:marker>
            <c:symbol val="none"/>
          </c:marker>
          <c:cat>
            <c:numRef>
              <c:f>Hate!$C$45:$N$45</c:f>
              <c:numCache>
                <c:formatCode>mmm\-yy</c:formatCode>
                <c:ptCount val="12"/>
                <c:pt idx="0">
                  <c:v>43191</c:v>
                </c:pt>
                <c:pt idx="1">
                  <c:v>43221</c:v>
                </c:pt>
                <c:pt idx="2">
                  <c:v>43252</c:v>
                </c:pt>
                <c:pt idx="3">
                  <c:v>43282</c:v>
                </c:pt>
                <c:pt idx="4">
                  <c:v>43313</c:v>
                </c:pt>
                <c:pt idx="5">
                  <c:v>43344</c:v>
                </c:pt>
                <c:pt idx="6">
                  <c:v>43374</c:v>
                </c:pt>
                <c:pt idx="7">
                  <c:v>43405</c:v>
                </c:pt>
                <c:pt idx="8">
                  <c:v>43435</c:v>
                </c:pt>
                <c:pt idx="9">
                  <c:v>43466</c:v>
                </c:pt>
                <c:pt idx="10">
                  <c:v>43497</c:v>
                </c:pt>
                <c:pt idx="11">
                  <c:v>43525</c:v>
                </c:pt>
              </c:numCache>
            </c:numRef>
          </c:cat>
          <c:val>
            <c:numRef>
              <c:f>Hate!$C$47:$N$47</c:f>
              <c:numCache>
                <c:formatCode>#,##0</c:formatCode>
                <c:ptCount val="12"/>
                <c:pt idx="0">
                  <c:v>638</c:v>
                </c:pt>
                <c:pt idx="1">
                  <c:v>620</c:v>
                </c:pt>
                <c:pt idx="2">
                  <c:v>605</c:v>
                </c:pt>
                <c:pt idx="3">
                  <c:v>561</c:v>
                </c:pt>
                <c:pt idx="4">
                  <c:v>541</c:v>
                </c:pt>
                <c:pt idx="5">
                  <c:v>501</c:v>
                </c:pt>
                <c:pt idx="6">
                  <c:v>464</c:v>
                </c:pt>
                <c:pt idx="7">
                  <c:v>433</c:v>
                </c:pt>
                <c:pt idx="8">
                  <c:v>422</c:v>
                </c:pt>
                <c:pt idx="9">
                  <c:v>421</c:v>
                </c:pt>
                <c:pt idx="10">
                  <c:v>434</c:v>
                </c:pt>
                <c:pt idx="11">
                  <c:v>445</c:v>
                </c:pt>
              </c:numCache>
            </c:numRef>
          </c:val>
          <c:smooth val="0"/>
        </c:ser>
        <c:dLbls>
          <c:showLegendKey val="0"/>
          <c:showVal val="0"/>
          <c:showCatName val="0"/>
          <c:showSerName val="0"/>
          <c:showPercent val="0"/>
          <c:showBubbleSize val="0"/>
        </c:dLbls>
        <c:marker val="1"/>
        <c:smooth val="0"/>
        <c:axId val="940138008"/>
        <c:axId val="940134872"/>
      </c:lineChart>
      <c:dateAx>
        <c:axId val="940138008"/>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134872"/>
        <c:crosses val="autoZero"/>
        <c:auto val="1"/>
        <c:lblOffset val="100"/>
        <c:baseTimeUnit val="months"/>
      </c:dateAx>
      <c:valAx>
        <c:axId val="940134872"/>
        <c:scaling>
          <c:orientation val="minMax"/>
          <c:max val="10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138008"/>
        <c:crosses val="autoZero"/>
        <c:crossBetween val="between"/>
      </c:valAx>
      <c:spPr>
        <a:noFill/>
        <a:ln>
          <a:noFill/>
        </a:ln>
        <a:effectLst/>
      </c:spPr>
    </c:plotArea>
    <c:legend>
      <c:legendPos val="b"/>
      <c:layout>
        <c:manualLayout>
          <c:xMode val="edge"/>
          <c:yMode val="edge"/>
          <c:x val="0.27470494313210853"/>
          <c:y val="0.13483741615631378"/>
          <c:w val="0.54905183727034124"/>
          <c:h val="8.933180227471565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Faith</a:t>
            </a:r>
          </a:p>
        </c:rich>
      </c:tx>
      <c:layout>
        <c:manualLayout>
          <c:xMode val="edge"/>
          <c:yMode val="edge"/>
          <c:x val="1.5534558180227472E-2"/>
          <c:y val="1.388888888888888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3914260717410324E-2"/>
          <c:y val="0.25967592592592598"/>
          <c:w val="0.90719685039370079"/>
          <c:h val="0.5794535578885972"/>
        </c:manualLayout>
      </c:layout>
      <c:barChart>
        <c:barDir val="col"/>
        <c:grouping val="clustered"/>
        <c:varyColors val="0"/>
        <c:ser>
          <c:idx val="0"/>
          <c:order val="0"/>
          <c:tx>
            <c:strRef>
              <c:f>Hate!$B$64</c:f>
              <c:strCache>
                <c:ptCount val="1"/>
                <c:pt idx="0">
                  <c:v>Current year</c:v>
                </c:pt>
              </c:strCache>
            </c:strRef>
          </c:tx>
          <c:spPr>
            <a:solidFill>
              <a:schemeClr val="accent1"/>
            </a:solidFill>
            <a:ln>
              <a:noFill/>
            </a:ln>
            <a:effectLst/>
          </c:spPr>
          <c:invertIfNegative val="0"/>
          <c:cat>
            <c:numRef>
              <c:f>Hate!$C$63:$N$63</c:f>
              <c:numCache>
                <c:formatCode>mmm\-yy</c:formatCode>
                <c:ptCount val="12"/>
                <c:pt idx="0">
                  <c:v>43191</c:v>
                </c:pt>
                <c:pt idx="1">
                  <c:v>43221</c:v>
                </c:pt>
                <c:pt idx="2">
                  <c:v>43252</c:v>
                </c:pt>
                <c:pt idx="3">
                  <c:v>43282</c:v>
                </c:pt>
                <c:pt idx="4">
                  <c:v>43313</c:v>
                </c:pt>
                <c:pt idx="5">
                  <c:v>43344</c:v>
                </c:pt>
                <c:pt idx="6">
                  <c:v>43374</c:v>
                </c:pt>
                <c:pt idx="7">
                  <c:v>43405</c:v>
                </c:pt>
                <c:pt idx="8">
                  <c:v>43435</c:v>
                </c:pt>
                <c:pt idx="9">
                  <c:v>43466</c:v>
                </c:pt>
                <c:pt idx="10">
                  <c:v>43497</c:v>
                </c:pt>
                <c:pt idx="11">
                  <c:v>43525</c:v>
                </c:pt>
              </c:numCache>
            </c:numRef>
          </c:cat>
          <c:val>
            <c:numRef>
              <c:f>Hate!$C$64:$N$64</c:f>
              <c:numCache>
                <c:formatCode>#,##0</c:formatCode>
                <c:ptCount val="12"/>
                <c:pt idx="0">
                  <c:v>67</c:v>
                </c:pt>
                <c:pt idx="1">
                  <c:v>66</c:v>
                </c:pt>
                <c:pt idx="2">
                  <c:v>59</c:v>
                </c:pt>
                <c:pt idx="3">
                  <c:v>56</c:v>
                </c:pt>
                <c:pt idx="4">
                  <c:v>57</c:v>
                </c:pt>
                <c:pt idx="5">
                  <c:v>57</c:v>
                </c:pt>
                <c:pt idx="6">
                  <c:v>54</c:v>
                </c:pt>
              </c:numCache>
            </c:numRef>
          </c:val>
        </c:ser>
        <c:dLbls>
          <c:showLegendKey val="0"/>
          <c:showVal val="0"/>
          <c:showCatName val="0"/>
          <c:showSerName val="0"/>
          <c:showPercent val="0"/>
          <c:showBubbleSize val="0"/>
        </c:dLbls>
        <c:gapWidth val="150"/>
        <c:axId val="940136832"/>
        <c:axId val="940137616"/>
      </c:barChart>
      <c:lineChart>
        <c:grouping val="standard"/>
        <c:varyColors val="0"/>
        <c:ser>
          <c:idx val="1"/>
          <c:order val="1"/>
          <c:tx>
            <c:strRef>
              <c:f>Hate!$B$65</c:f>
              <c:strCache>
                <c:ptCount val="1"/>
                <c:pt idx="0">
                  <c:v>Previous year</c:v>
                </c:pt>
              </c:strCache>
            </c:strRef>
          </c:tx>
          <c:spPr>
            <a:ln w="28575" cap="rnd">
              <a:solidFill>
                <a:schemeClr val="accent2"/>
              </a:solidFill>
              <a:round/>
            </a:ln>
            <a:effectLst/>
          </c:spPr>
          <c:marker>
            <c:symbol val="none"/>
          </c:marker>
          <c:cat>
            <c:numRef>
              <c:f>Hate!$C$63:$N$63</c:f>
              <c:numCache>
                <c:formatCode>mmm\-yy</c:formatCode>
                <c:ptCount val="12"/>
                <c:pt idx="0">
                  <c:v>43191</c:v>
                </c:pt>
                <c:pt idx="1">
                  <c:v>43221</c:v>
                </c:pt>
                <c:pt idx="2">
                  <c:v>43252</c:v>
                </c:pt>
                <c:pt idx="3">
                  <c:v>43282</c:v>
                </c:pt>
                <c:pt idx="4">
                  <c:v>43313</c:v>
                </c:pt>
                <c:pt idx="5">
                  <c:v>43344</c:v>
                </c:pt>
                <c:pt idx="6">
                  <c:v>43374</c:v>
                </c:pt>
                <c:pt idx="7">
                  <c:v>43405</c:v>
                </c:pt>
                <c:pt idx="8">
                  <c:v>43435</c:v>
                </c:pt>
                <c:pt idx="9">
                  <c:v>43466</c:v>
                </c:pt>
                <c:pt idx="10">
                  <c:v>43497</c:v>
                </c:pt>
                <c:pt idx="11">
                  <c:v>43525</c:v>
                </c:pt>
              </c:numCache>
            </c:numRef>
          </c:cat>
          <c:val>
            <c:numRef>
              <c:f>Hate!$C$65:$N$65</c:f>
              <c:numCache>
                <c:formatCode>#,##0</c:formatCode>
                <c:ptCount val="12"/>
                <c:pt idx="0">
                  <c:v>56</c:v>
                </c:pt>
                <c:pt idx="1">
                  <c:v>54</c:v>
                </c:pt>
                <c:pt idx="2">
                  <c:v>66</c:v>
                </c:pt>
                <c:pt idx="3">
                  <c:v>63</c:v>
                </c:pt>
                <c:pt idx="4">
                  <c:v>64</c:v>
                </c:pt>
                <c:pt idx="5">
                  <c:v>66</c:v>
                </c:pt>
                <c:pt idx="6">
                  <c:v>68</c:v>
                </c:pt>
                <c:pt idx="7">
                  <c:v>68</c:v>
                </c:pt>
                <c:pt idx="8">
                  <c:v>68</c:v>
                </c:pt>
                <c:pt idx="9">
                  <c:v>70</c:v>
                </c:pt>
                <c:pt idx="10">
                  <c:v>64</c:v>
                </c:pt>
                <c:pt idx="11">
                  <c:v>67</c:v>
                </c:pt>
              </c:numCache>
            </c:numRef>
          </c:val>
          <c:smooth val="0"/>
        </c:ser>
        <c:dLbls>
          <c:showLegendKey val="0"/>
          <c:showVal val="0"/>
          <c:showCatName val="0"/>
          <c:showSerName val="0"/>
          <c:showPercent val="0"/>
          <c:showBubbleSize val="0"/>
        </c:dLbls>
        <c:marker val="1"/>
        <c:smooth val="0"/>
        <c:axId val="940136832"/>
        <c:axId val="940137616"/>
      </c:lineChart>
      <c:dateAx>
        <c:axId val="940136832"/>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137616"/>
        <c:crosses val="autoZero"/>
        <c:auto val="1"/>
        <c:lblOffset val="100"/>
        <c:baseTimeUnit val="months"/>
      </c:dateAx>
      <c:valAx>
        <c:axId val="94013761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136832"/>
        <c:crosses val="autoZero"/>
        <c:crossBetween val="between"/>
      </c:valAx>
      <c:spPr>
        <a:noFill/>
        <a:ln>
          <a:noFill/>
        </a:ln>
        <a:effectLst/>
      </c:spPr>
    </c:plotArea>
    <c:legend>
      <c:legendPos val="b"/>
      <c:layout>
        <c:manualLayout>
          <c:xMode val="edge"/>
          <c:yMode val="edge"/>
          <c:x val="0.27470494313210853"/>
          <c:y val="0.13483741615631378"/>
          <c:w val="0.54905183727034124"/>
          <c:h val="8.933180227471565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Islamophobic</a:t>
            </a:r>
          </a:p>
        </c:rich>
      </c:tx>
      <c:layout>
        <c:manualLayout>
          <c:xMode val="edge"/>
          <c:yMode val="edge"/>
          <c:x val="1.5534558180227472E-2"/>
          <c:y val="1.388888888888888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2729747614035574E-2"/>
          <c:y val="0.24138519570299613"/>
          <c:w val="0.9039960740947991"/>
          <c:h val="0.54886694491057475"/>
        </c:manualLayout>
      </c:layout>
      <c:barChart>
        <c:barDir val="col"/>
        <c:grouping val="clustered"/>
        <c:varyColors val="0"/>
        <c:ser>
          <c:idx val="0"/>
          <c:order val="0"/>
          <c:tx>
            <c:strRef>
              <c:f>Hate!$B$83</c:f>
              <c:strCache>
                <c:ptCount val="1"/>
                <c:pt idx="0">
                  <c:v>Current year</c:v>
                </c:pt>
              </c:strCache>
            </c:strRef>
          </c:tx>
          <c:spPr>
            <a:solidFill>
              <a:schemeClr val="accent1"/>
            </a:solidFill>
            <a:ln>
              <a:noFill/>
            </a:ln>
            <a:effectLst/>
          </c:spPr>
          <c:invertIfNegative val="0"/>
          <c:cat>
            <c:numRef>
              <c:f>Hate!$C$82:$N$82</c:f>
              <c:numCache>
                <c:formatCode>mmm\-yy</c:formatCode>
                <c:ptCount val="12"/>
                <c:pt idx="0">
                  <c:v>43191</c:v>
                </c:pt>
                <c:pt idx="1">
                  <c:v>43221</c:v>
                </c:pt>
                <c:pt idx="2">
                  <c:v>43252</c:v>
                </c:pt>
                <c:pt idx="3">
                  <c:v>43282</c:v>
                </c:pt>
                <c:pt idx="4">
                  <c:v>43313</c:v>
                </c:pt>
                <c:pt idx="5">
                  <c:v>43344</c:v>
                </c:pt>
                <c:pt idx="6">
                  <c:v>43374</c:v>
                </c:pt>
                <c:pt idx="7">
                  <c:v>43405</c:v>
                </c:pt>
                <c:pt idx="8">
                  <c:v>43435</c:v>
                </c:pt>
                <c:pt idx="9">
                  <c:v>43466</c:v>
                </c:pt>
                <c:pt idx="10">
                  <c:v>43497</c:v>
                </c:pt>
                <c:pt idx="11">
                  <c:v>43525</c:v>
                </c:pt>
              </c:numCache>
            </c:numRef>
          </c:cat>
          <c:val>
            <c:numRef>
              <c:f>Hate!$C$83:$N$83</c:f>
              <c:numCache>
                <c:formatCode>#,##0</c:formatCode>
                <c:ptCount val="12"/>
                <c:pt idx="0">
                  <c:v>52</c:v>
                </c:pt>
                <c:pt idx="1">
                  <c:v>51</c:v>
                </c:pt>
                <c:pt idx="2">
                  <c:v>39</c:v>
                </c:pt>
                <c:pt idx="3">
                  <c:v>36</c:v>
                </c:pt>
                <c:pt idx="4">
                  <c:v>36</c:v>
                </c:pt>
                <c:pt idx="5">
                  <c:v>36</c:v>
                </c:pt>
                <c:pt idx="6">
                  <c:v>35</c:v>
                </c:pt>
              </c:numCache>
            </c:numRef>
          </c:val>
        </c:ser>
        <c:dLbls>
          <c:showLegendKey val="0"/>
          <c:showVal val="0"/>
          <c:showCatName val="0"/>
          <c:showSerName val="0"/>
          <c:showPercent val="0"/>
          <c:showBubbleSize val="0"/>
        </c:dLbls>
        <c:gapWidth val="150"/>
        <c:axId val="940133304"/>
        <c:axId val="940142320"/>
      </c:barChart>
      <c:lineChart>
        <c:grouping val="standard"/>
        <c:varyColors val="0"/>
        <c:ser>
          <c:idx val="1"/>
          <c:order val="1"/>
          <c:tx>
            <c:strRef>
              <c:f>Hate!$B$84</c:f>
              <c:strCache>
                <c:ptCount val="1"/>
                <c:pt idx="0">
                  <c:v>Previous year</c:v>
                </c:pt>
              </c:strCache>
            </c:strRef>
          </c:tx>
          <c:spPr>
            <a:ln w="28575" cap="rnd">
              <a:solidFill>
                <a:schemeClr val="accent2"/>
              </a:solidFill>
              <a:round/>
            </a:ln>
            <a:effectLst/>
          </c:spPr>
          <c:marker>
            <c:symbol val="none"/>
          </c:marker>
          <c:cat>
            <c:numRef>
              <c:f>Hate!$C$82:$N$82</c:f>
              <c:numCache>
                <c:formatCode>mmm\-yy</c:formatCode>
                <c:ptCount val="12"/>
                <c:pt idx="0">
                  <c:v>43191</c:v>
                </c:pt>
                <c:pt idx="1">
                  <c:v>43221</c:v>
                </c:pt>
                <c:pt idx="2">
                  <c:v>43252</c:v>
                </c:pt>
                <c:pt idx="3">
                  <c:v>43282</c:v>
                </c:pt>
                <c:pt idx="4">
                  <c:v>43313</c:v>
                </c:pt>
                <c:pt idx="5">
                  <c:v>43344</c:v>
                </c:pt>
                <c:pt idx="6">
                  <c:v>43374</c:v>
                </c:pt>
                <c:pt idx="7">
                  <c:v>43405</c:v>
                </c:pt>
                <c:pt idx="8">
                  <c:v>43435</c:v>
                </c:pt>
                <c:pt idx="9">
                  <c:v>43466</c:v>
                </c:pt>
                <c:pt idx="10">
                  <c:v>43497</c:v>
                </c:pt>
                <c:pt idx="11">
                  <c:v>43525</c:v>
                </c:pt>
              </c:numCache>
            </c:numRef>
          </c:cat>
          <c:val>
            <c:numRef>
              <c:f>Hate!$C$84:$N$84</c:f>
              <c:numCache>
                <c:formatCode>#,##0</c:formatCode>
                <c:ptCount val="12"/>
                <c:pt idx="0">
                  <c:v>43</c:v>
                </c:pt>
                <c:pt idx="1">
                  <c:v>46</c:v>
                </c:pt>
                <c:pt idx="2">
                  <c:v>58</c:v>
                </c:pt>
                <c:pt idx="3">
                  <c:v>57</c:v>
                </c:pt>
                <c:pt idx="4">
                  <c:v>57</c:v>
                </c:pt>
                <c:pt idx="5">
                  <c:v>57</c:v>
                </c:pt>
                <c:pt idx="6">
                  <c:v>58</c:v>
                </c:pt>
                <c:pt idx="7">
                  <c:v>57</c:v>
                </c:pt>
                <c:pt idx="8">
                  <c:v>56</c:v>
                </c:pt>
                <c:pt idx="9">
                  <c:v>58</c:v>
                </c:pt>
                <c:pt idx="10">
                  <c:v>50</c:v>
                </c:pt>
                <c:pt idx="11">
                  <c:v>52</c:v>
                </c:pt>
              </c:numCache>
            </c:numRef>
          </c:val>
          <c:smooth val="0"/>
        </c:ser>
        <c:dLbls>
          <c:showLegendKey val="0"/>
          <c:showVal val="0"/>
          <c:showCatName val="0"/>
          <c:showSerName val="0"/>
          <c:showPercent val="0"/>
          <c:showBubbleSize val="0"/>
        </c:dLbls>
        <c:marker val="1"/>
        <c:smooth val="0"/>
        <c:axId val="940133304"/>
        <c:axId val="940142320"/>
      </c:lineChart>
      <c:dateAx>
        <c:axId val="940133304"/>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142320"/>
        <c:crosses val="autoZero"/>
        <c:auto val="1"/>
        <c:lblOffset val="100"/>
        <c:baseTimeUnit val="months"/>
      </c:dateAx>
      <c:valAx>
        <c:axId val="94014232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133304"/>
        <c:crosses val="autoZero"/>
        <c:crossBetween val="between"/>
      </c:valAx>
      <c:spPr>
        <a:noFill/>
        <a:ln>
          <a:noFill/>
        </a:ln>
        <a:effectLst/>
      </c:spPr>
    </c:plotArea>
    <c:legend>
      <c:legendPos val="b"/>
      <c:layout>
        <c:manualLayout>
          <c:xMode val="edge"/>
          <c:yMode val="edge"/>
          <c:x val="0.27470494313210853"/>
          <c:y val="0.13483741615631378"/>
          <c:w val="0.55741303276176768"/>
          <c:h val="8.7867346499720306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Anti-Semetic</a:t>
            </a:r>
          </a:p>
        </c:rich>
      </c:tx>
      <c:layout>
        <c:manualLayout>
          <c:xMode val="edge"/>
          <c:yMode val="edge"/>
          <c:x val="1.2756780402449723E-2"/>
          <c:y val="1.851851851851851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5.3914260717410324E-2"/>
          <c:y val="0.25967592592592598"/>
          <c:w val="0.91275240594925644"/>
          <c:h val="0.54241652085156022"/>
        </c:manualLayout>
      </c:layout>
      <c:barChart>
        <c:barDir val="col"/>
        <c:grouping val="clustered"/>
        <c:varyColors val="0"/>
        <c:ser>
          <c:idx val="0"/>
          <c:order val="0"/>
          <c:tx>
            <c:strRef>
              <c:f>Hate!$A$8</c:f>
              <c:strCache>
                <c:ptCount val="1"/>
                <c:pt idx="0">
                  <c:v>Current year</c:v>
                </c:pt>
              </c:strCache>
            </c:strRef>
          </c:tx>
          <c:spPr>
            <a:solidFill>
              <a:schemeClr val="accent1"/>
            </a:solidFill>
            <a:ln>
              <a:noFill/>
            </a:ln>
            <a:effectLst/>
          </c:spPr>
          <c:invertIfNegative val="0"/>
          <c:cat>
            <c:numRef>
              <c:f>Hate!$B$7:$M$7</c:f>
              <c:numCache>
                <c:formatCode>mmm\-yy</c:formatCode>
                <c:ptCount val="12"/>
                <c:pt idx="0">
                  <c:v>43191</c:v>
                </c:pt>
                <c:pt idx="1">
                  <c:v>43221</c:v>
                </c:pt>
                <c:pt idx="2">
                  <c:v>43252</c:v>
                </c:pt>
                <c:pt idx="3">
                  <c:v>43282</c:v>
                </c:pt>
                <c:pt idx="4">
                  <c:v>43313</c:v>
                </c:pt>
                <c:pt idx="5">
                  <c:v>43344</c:v>
                </c:pt>
                <c:pt idx="6">
                  <c:v>43374</c:v>
                </c:pt>
                <c:pt idx="7">
                  <c:v>43405</c:v>
                </c:pt>
                <c:pt idx="8">
                  <c:v>43435</c:v>
                </c:pt>
                <c:pt idx="9">
                  <c:v>43466</c:v>
                </c:pt>
                <c:pt idx="10">
                  <c:v>43497</c:v>
                </c:pt>
                <c:pt idx="11">
                  <c:v>43525</c:v>
                </c:pt>
              </c:numCache>
            </c:numRef>
          </c:cat>
          <c:val>
            <c:numRef>
              <c:f>Hate!$B$8:$M$8</c:f>
              <c:numCache>
                <c:formatCode>#,##0</c:formatCode>
                <c:ptCount val="12"/>
                <c:pt idx="0">
                  <c:v>4</c:v>
                </c:pt>
                <c:pt idx="1">
                  <c:v>4</c:v>
                </c:pt>
                <c:pt idx="2">
                  <c:v>5</c:v>
                </c:pt>
                <c:pt idx="3">
                  <c:v>5</c:v>
                </c:pt>
                <c:pt idx="4">
                  <c:v>5</c:v>
                </c:pt>
                <c:pt idx="5">
                  <c:v>6</c:v>
                </c:pt>
                <c:pt idx="6">
                  <c:v>6</c:v>
                </c:pt>
              </c:numCache>
            </c:numRef>
          </c:val>
        </c:ser>
        <c:dLbls>
          <c:showLegendKey val="0"/>
          <c:showVal val="0"/>
          <c:showCatName val="0"/>
          <c:showSerName val="0"/>
          <c:showPercent val="0"/>
          <c:showBubbleSize val="0"/>
        </c:dLbls>
        <c:gapWidth val="150"/>
        <c:axId val="940130560"/>
        <c:axId val="940132520"/>
      </c:barChart>
      <c:lineChart>
        <c:grouping val="standard"/>
        <c:varyColors val="0"/>
        <c:ser>
          <c:idx val="1"/>
          <c:order val="1"/>
          <c:tx>
            <c:strRef>
              <c:f>Hate!$A$9</c:f>
              <c:strCache>
                <c:ptCount val="1"/>
                <c:pt idx="0">
                  <c:v>Previous year</c:v>
                </c:pt>
              </c:strCache>
            </c:strRef>
          </c:tx>
          <c:spPr>
            <a:ln w="28575" cap="rnd">
              <a:solidFill>
                <a:schemeClr val="accent2"/>
              </a:solidFill>
              <a:round/>
            </a:ln>
            <a:effectLst/>
          </c:spPr>
          <c:marker>
            <c:symbol val="none"/>
          </c:marker>
          <c:cat>
            <c:numRef>
              <c:f>Hate!$B$7:$M$7</c:f>
              <c:numCache>
                <c:formatCode>mmm\-yy</c:formatCode>
                <c:ptCount val="12"/>
                <c:pt idx="0">
                  <c:v>43191</c:v>
                </c:pt>
                <c:pt idx="1">
                  <c:v>43221</c:v>
                </c:pt>
                <c:pt idx="2">
                  <c:v>43252</c:v>
                </c:pt>
                <c:pt idx="3">
                  <c:v>43282</c:v>
                </c:pt>
                <c:pt idx="4">
                  <c:v>43313</c:v>
                </c:pt>
                <c:pt idx="5">
                  <c:v>43344</c:v>
                </c:pt>
                <c:pt idx="6">
                  <c:v>43374</c:v>
                </c:pt>
                <c:pt idx="7">
                  <c:v>43405</c:v>
                </c:pt>
                <c:pt idx="8">
                  <c:v>43435</c:v>
                </c:pt>
                <c:pt idx="9">
                  <c:v>43466</c:v>
                </c:pt>
                <c:pt idx="10">
                  <c:v>43497</c:v>
                </c:pt>
                <c:pt idx="11">
                  <c:v>43525</c:v>
                </c:pt>
              </c:numCache>
            </c:numRef>
          </c:cat>
          <c:val>
            <c:numRef>
              <c:f>Hate!$B$9:$M$9</c:f>
              <c:numCache>
                <c:formatCode>#,##0</c:formatCode>
                <c:ptCount val="12"/>
                <c:pt idx="0">
                  <c:v>2</c:v>
                </c:pt>
                <c:pt idx="1">
                  <c:v>2</c:v>
                </c:pt>
                <c:pt idx="2">
                  <c:v>2</c:v>
                </c:pt>
                <c:pt idx="3">
                  <c:v>3</c:v>
                </c:pt>
                <c:pt idx="4">
                  <c:v>3</c:v>
                </c:pt>
                <c:pt idx="5">
                  <c:v>3</c:v>
                </c:pt>
                <c:pt idx="6">
                  <c:v>2</c:v>
                </c:pt>
                <c:pt idx="7">
                  <c:v>2</c:v>
                </c:pt>
                <c:pt idx="8">
                  <c:v>2</c:v>
                </c:pt>
                <c:pt idx="9">
                  <c:v>2</c:v>
                </c:pt>
                <c:pt idx="10">
                  <c:v>3</c:v>
                </c:pt>
                <c:pt idx="11">
                  <c:v>3</c:v>
                </c:pt>
              </c:numCache>
            </c:numRef>
          </c:val>
          <c:smooth val="0"/>
        </c:ser>
        <c:dLbls>
          <c:showLegendKey val="0"/>
          <c:showVal val="0"/>
          <c:showCatName val="0"/>
          <c:showSerName val="0"/>
          <c:showPercent val="0"/>
          <c:showBubbleSize val="0"/>
        </c:dLbls>
        <c:marker val="1"/>
        <c:smooth val="0"/>
        <c:axId val="940130560"/>
        <c:axId val="940132520"/>
      </c:lineChart>
      <c:dateAx>
        <c:axId val="940130560"/>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132520"/>
        <c:crosses val="autoZero"/>
        <c:auto val="1"/>
        <c:lblOffset val="100"/>
        <c:baseTimeUnit val="months"/>
      </c:dateAx>
      <c:valAx>
        <c:axId val="940132520"/>
        <c:scaling>
          <c:orientation val="minMax"/>
          <c:max val="1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130560"/>
        <c:crosses val="autoZero"/>
        <c:crossBetween val="between"/>
      </c:valAx>
      <c:spPr>
        <a:noFill/>
        <a:ln>
          <a:noFill/>
        </a:ln>
        <a:effectLst/>
      </c:spPr>
    </c:plotArea>
    <c:legend>
      <c:legendPos val="b"/>
      <c:layout>
        <c:manualLayout>
          <c:xMode val="edge"/>
          <c:yMode val="edge"/>
          <c:x val="0.27470494313210853"/>
          <c:y val="0.13483741615631378"/>
          <c:w val="0.54905183727034124"/>
          <c:h val="8.933180227471565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Sexual Orientation</a:t>
            </a:r>
          </a:p>
        </c:rich>
      </c:tx>
      <c:layout>
        <c:manualLayout>
          <c:xMode val="edge"/>
          <c:yMode val="edge"/>
          <c:x val="2.6645669291338579E-2"/>
          <c:y val="1.388888888888888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3136482939632531E-2"/>
          <c:y val="0.22726851851851851"/>
          <c:w val="0.88864149496954581"/>
          <c:h val="0.58710563066409149"/>
        </c:manualLayout>
      </c:layout>
      <c:barChart>
        <c:barDir val="col"/>
        <c:grouping val="clustered"/>
        <c:varyColors val="0"/>
        <c:ser>
          <c:idx val="0"/>
          <c:order val="0"/>
          <c:tx>
            <c:strRef>
              <c:f>Hate!$B$123</c:f>
              <c:strCache>
                <c:ptCount val="1"/>
                <c:pt idx="0">
                  <c:v>Current year</c:v>
                </c:pt>
              </c:strCache>
            </c:strRef>
          </c:tx>
          <c:spPr>
            <a:solidFill>
              <a:schemeClr val="accent1"/>
            </a:solidFill>
            <a:ln>
              <a:noFill/>
            </a:ln>
            <a:effectLst/>
          </c:spPr>
          <c:invertIfNegative val="0"/>
          <c:cat>
            <c:numRef>
              <c:f>Hate!$C$122:$N$122</c:f>
              <c:numCache>
                <c:formatCode>mmm\-yy</c:formatCode>
                <c:ptCount val="12"/>
                <c:pt idx="0">
                  <c:v>43191</c:v>
                </c:pt>
                <c:pt idx="1">
                  <c:v>43221</c:v>
                </c:pt>
                <c:pt idx="2">
                  <c:v>43252</c:v>
                </c:pt>
                <c:pt idx="3">
                  <c:v>43282</c:v>
                </c:pt>
                <c:pt idx="4">
                  <c:v>43313</c:v>
                </c:pt>
                <c:pt idx="5">
                  <c:v>43344</c:v>
                </c:pt>
                <c:pt idx="6">
                  <c:v>43374</c:v>
                </c:pt>
                <c:pt idx="7">
                  <c:v>43405</c:v>
                </c:pt>
                <c:pt idx="8">
                  <c:v>43435</c:v>
                </c:pt>
                <c:pt idx="9">
                  <c:v>43466</c:v>
                </c:pt>
                <c:pt idx="10">
                  <c:v>43497</c:v>
                </c:pt>
                <c:pt idx="11">
                  <c:v>43525</c:v>
                </c:pt>
              </c:numCache>
            </c:numRef>
          </c:cat>
          <c:val>
            <c:numRef>
              <c:f>Hate!$C$123:$N$123</c:f>
              <c:numCache>
                <c:formatCode>#,##0</c:formatCode>
                <c:ptCount val="12"/>
                <c:pt idx="0">
                  <c:v>52</c:v>
                </c:pt>
                <c:pt idx="1">
                  <c:v>43</c:v>
                </c:pt>
                <c:pt idx="2">
                  <c:v>46</c:v>
                </c:pt>
                <c:pt idx="3">
                  <c:v>49</c:v>
                </c:pt>
                <c:pt idx="4">
                  <c:v>53</c:v>
                </c:pt>
                <c:pt idx="5">
                  <c:v>51</c:v>
                </c:pt>
                <c:pt idx="6">
                  <c:v>52</c:v>
                </c:pt>
              </c:numCache>
            </c:numRef>
          </c:val>
        </c:ser>
        <c:dLbls>
          <c:showLegendKey val="0"/>
          <c:showVal val="0"/>
          <c:showCatName val="0"/>
          <c:showSerName val="0"/>
          <c:showPercent val="0"/>
          <c:showBubbleSize val="0"/>
        </c:dLbls>
        <c:gapWidth val="150"/>
        <c:axId val="940136048"/>
        <c:axId val="940141928"/>
      </c:barChart>
      <c:lineChart>
        <c:grouping val="standard"/>
        <c:varyColors val="0"/>
        <c:ser>
          <c:idx val="1"/>
          <c:order val="1"/>
          <c:tx>
            <c:strRef>
              <c:f>Hate!$B$124</c:f>
              <c:strCache>
                <c:ptCount val="1"/>
                <c:pt idx="0">
                  <c:v>Previous year</c:v>
                </c:pt>
              </c:strCache>
            </c:strRef>
          </c:tx>
          <c:spPr>
            <a:ln w="28575" cap="rnd">
              <a:solidFill>
                <a:schemeClr val="accent2"/>
              </a:solidFill>
              <a:round/>
            </a:ln>
            <a:effectLst/>
          </c:spPr>
          <c:marker>
            <c:symbol val="none"/>
          </c:marker>
          <c:cat>
            <c:numRef>
              <c:f>Hate!$C$122:$N$122</c:f>
              <c:numCache>
                <c:formatCode>mmm\-yy</c:formatCode>
                <c:ptCount val="12"/>
                <c:pt idx="0">
                  <c:v>43191</c:v>
                </c:pt>
                <c:pt idx="1">
                  <c:v>43221</c:v>
                </c:pt>
                <c:pt idx="2">
                  <c:v>43252</c:v>
                </c:pt>
                <c:pt idx="3">
                  <c:v>43282</c:v>
                </c:pt>
                <c:pt idx="4">
                  <c:v>43313</c:v>
                </c:pt>
                <c:pt idx="5">
                  <c:v>43344</c:v>
                </c:pt>
                <c:pt idx="6">
                  <c:v>43374</c:v>
                </c:pt>
                <c:pt idx="7">
                  <c:v>43405</c:v>
                </c:pt>
                <c:pt idx="8">
                  <c:v>43435</c:v>
                </c:pt>
                <c:pt idx="9">
                  <c:v>43466</c:v>
                </c:pt>
                <c:pt idx="10">
                  <c:v>43497</c:v>
                </c:pt>
                <c:pt idx="11">
                  <c:v>43525</c:v>
                </c:pt>
              </c:numCache>
            </c:numRef>
          </c:cat>
          <c:val>
            <c:numRef>
              <c:f>Hate!$C$124:$N$124</c:f>
              <c:numCache>
                <c:formatCode>#,##0</c:formatCode>
                <c:ptCount val="12"/>
                <c:pt idx="0">
                  <c:v>80</c:v>
                </c:pt>
                <c:pt idx="1">
                  <c:v>85</c:v>
                </c:pt>
                <c:pt idx="2">
                  <c:v>84</c:v>
                </c:pt>
                <c:pt idx="3">
                  <c:v>79</c:v>
                </c:pt>
                <c:pt idx="4">
                  <c:v>65</c:v>
                </c:pt>
                <c:pt idx="5">
                  <c:v>62</c:v>
                </c:pt>
                <c:pt idx="6">
                  <c:v>58</c:v>
                </c:pt>
                <c:pt idx="7">
                  <c:v>55</c:v>
                </c:pt>
                <c:pt idx="8">
                  <c:v>56</c:v>
                </c:pt>
                <c:pt idx="9">
                  <c:v>58</c:v>
                </c:pt>
                <c:pt idx="10">
                  <c:v>57</c:v>
                </c:pt>
                <c:pt idx="11">
                  <c:v>58</c:v>
                </c:pt>
              </c:numCache>
            </c:numRef>
          </c:val>
          <c:smooth val="0"/>
        </c:ser>
        <c:dLbls>
          <c:showLegendKey val="0"/>
          <c:showVal val="0"/>
          <c:showCatName val="0"/>
          <c:showSerName val="0"/>
          <c:showPercent val="0"/>
          <c:showBubbleSize val="0"/>
        </c:dLbls>
        <c:marker val="1"/>
        <c:smooth val="0"/>
        <c:axId val="940136048"/>
        <c:axId val="940141928"/>
      </c:lineChart>
      <c:dateAx>
        <c:axId val="940136048"/>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141928"/>
        <c:crosses val="autoZero"/>
        <c:auto val="1"/>
        <c:lblOffset val="100"/>
        <c:baseTimeUnit val="months"/>
      </c:dateAx>
      <c:valAx>
        <c:axId val="940141928"/>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136048"/>
        <c:crosses val="autoZero"/>
        <c:crossBetween val="between"/>
      </c:valAx>
      <c:spPr>
        <a:noFill/>
        <a:ln>
          <a:noFill/>
        </a:ln>
        <a:effectLst/>
      </c:spPr>
    </c:plotArea>
    <c:legend>
      <c:legendPos val="b"/>
      <c:layout>
        <c:manualLayout>
          <c:xMode val="edge"/>
          <c:yMode val="edge"/>
          <c:x val="0.27470494313210853"/>
          <c:y val="0.13483741615631378"/>
          <c:w val="0.54905183727034124"/>
          <c:h val="8.9331802274715655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6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Transgender</a:t>
            </a:r>
          </a:p>
        </c:rich>
      </c:tx>
      <c:layout>
        <c:manualLayout>
          <c:xMode val="edge"/>
          <c:yMode val="edge"/>
          <c:x val="2.1090113735783025E-2"/>
          <c:y val="1.3889082448764701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6.8136482939632551E-2"/>
          <c:y val="0.25012968511679401"/>
          <c:w val="0.9155301837270341"/>
          <c:h val="0.53520583157193857"/>
        </c:manualLayout>
      </c:layout>
      <c:barChart>
        <c:barDir val="col"/>
        <c:grouping val="clustered"/>
        <c:varyColors val="0"/>
        <c:ser>
          <c:idx val="0"/>
          <c:order val="0"/>
          <c:tx>
            <c:strRef>
              <c:f>Hate!$B$143</c:f>
              <c:strCache>
                <c:ptCount val="1"/>
                <c:pt idx="0">
                  <c:v>Current year</c:v>
                </c:pt>
              </c:strCache>
            </c:strRef>
          </c:tx>
          <c:spPr>
            <a:solidFill>
              <a:schemeClr val="accent1"/>
            </a:solidFill>
            <a:ln>
              <a:noFill/>
            </a:ln>
            <a:effectLst/>
          </c:spPr>
          <c:invertIfNegative val="0"/>
          <c:cat>
            <c:numRef>
              <c:f>Hate!$C$142:$N$142</c:f>
              <c:numCache>
                <c:formatCode>mmm\-yy</c:formatCode>
                <c:ptCount val="12"/>
                <c:pt idx="0">
                  <c:v>43191</c:v>
                </c:pt>
                <c:pt idx="1">
                  <c:v>43221</c:v>
                </c:pt>
                <c:pt idx="2">
                  <c:v>43252</c:v>
                </c:pt>
                <c:pt idx="3">
                  <c:v>43282</c:v>
                </c:pt>
                <c:pt idx="4">
                  <c:v>43313</c:v>
                </c:pt>
                <c:pt idx="5">
                  <c:v>43344</c:v>
                </c:pt>
                <c:pt idx="6">
                  <c:v>43374</c:v>
                </c:pt>
                <c:pt idx="7">
                  <c:v>43405</c:v>
                </c:pt>
                <c:pt idx="8">
                  <c:v>43435</c:v>
                </c:pt>
                <c:pt idx="9">
                  <c:v>43466</c:v>
                </c:pt>
                <c:pt idx="10">
                  <c:v>43497</c:v>
                </c:pt>
                <c:pt idx="11">
                  <c:v>43525</c:v>
                </c:pt>
              </c:numCache>
            </c:numRef>
          </c:cat>
          <c:val>
            <c:numRef>
              <c:f>Hate!$C$143:$N$143</c:f>
              <c:numCache>
                <c:formatCode>#,##0</c:formatCode>
                <c:ptCount val="12"/>
                <c:pt idx="0">
                  <c:v>3</c:v>
                </c:pt>
                <c:pt idx="1">
                  <c:v>2</c:v>
                </c:pt>
                <c:pt idx="2">
                  <c:v>3</c:v>
                </c:pt>
                <c:pt idx="3">
                  <c:v>4</c:v>
                </c:pt>
                <c:pt idx="4">
                  <c:v>3</c:v>
                </c:pt>
                <c:pt idx="5">
                  <c:v>3</c:v>
                </c:pt>
                <c:pt idx="6" formatCode="General">
                  <c:v>5</c:v>
                </c:pt>
              </c:numCache>
            </c:numRef>
          </c:val>
        </c:ser>
        <c:dLbls>
          <c:showLegendKey val="0"/>
          <c:showVal val="0"/>
          <c:showCatName val="0"/>
          <c:showSerName val="0"/>
          <c:showPercent val="0"/>
          <c:showBubbleSize val="0"/>
        </c:dLbls>
        <c:gapWidth val="150"/>
        <c:axId val="940132912"/>
        <c:axId val="940133696"/>
      </c:barChart>
      <c:lineChart>
        <c:grouping val="standard"/>
        <c:varyColors val="0"/>
        <c:ser>
          <c:idx val="1"/>
          <c:order val="1"/>
          <c:tx>
            <c:strRef>
              <c:f>Hate!$B$144</c:f>
              <c:strCache>
                <c:ptCount val="1"/>
                <c:pt idx="0">
                  <c:v>Previous year</c:v>
                </c:pt>
              </c:strCache>
            </c:strRef>
          </c:tx>
          <c:spPr>
            <a:ln w="28575" cap="rnd">
              <a:solidFill>
                <a:schemeClr val="accent2"/>
              </a:solidFill>
              <a:round/>
            </a:ln>
            <a:effectLst/>
          </c:spPr>
          <c:marker>
            <c:symbol val="none"/>
          </c:marker>
          <c:cat>
            <c:numRef>
              <c:f>Hate!$C$142:$N$142</c:f>
              <c:numCache>
                <c:formatCode>mmm\-yy</c:formatCode>
                <c:ptCount val="12"/>
                <c:pt idx="0">
                  <c:v>43191</c:v>
                </c:pt>
                <c:pt idx="1">
                  <c:v>43221</c:v>
                </c:pt>
                <c:pt idx="2">
                  <c:v>43252</c:v>
                </c:pt>
                <c:pt idx="3">
                  <c:v>43282</c:v>
                </c:pt>
                <c:pt idx="4">
                  <c:v>43313</c:v>
                </c:pt>
                <c:pt idx="5">
                  <c:v>43344</c:v>
                </c:pt>
                <c:pt idx="6">
                  <c:v>43374</c:v>
                </c:pt>
                <c:pt idx="7">
                  <c:v>43405</c:v>
                </c:pt>
                <c:pt idx="8">
                  <c:v>43435</c:v>
                </c:pt>
                <c:pt idx="9">
                  <c:v>43466</c:v>
                </c:pt>
                <c:pt idx="10">
                  <c:v>43497</c:v>
                </c:pt>
                <c:pt idx="11">
                  <c:v>43525</c:v>
                </c:pt>
              </c:numCache>
            </c:numRef>
          </c:cat>
          <c:val>
            <c:numRef>
              <c:f>Hate!$C$144:$N$144</c:f>
              <c:numCache>
                <c:formatCode>#,##0</c:formatCode>
                <c:ptCount val="12"/>
                <c:pt idx="0">
                  <c:v>8</c:v>
                </c:pt>
                <c:pt idx="1">
                  <c:v>9</c:v>
                </c:pt>
                <c:pt idx="2">
                  <c:v>9</c:v>
                </c:pt>
                <c:pt idx="3">
                  <c:v>7</c:v>
                </c:pt>
                <c:pt idx="4">
                  <c:v>7</c:v>
                </c:pt>
                <c:pt idx="5">
                  <c:v>6</c:v>
                </c:pt>
                <c:pt idx="6">
                  <c:v>6</c:v>
                </c:pt>
                <c:pt idx="7">
                  <c:v>5</c:v>
                </c:pt>
                <c:pt idx="8">
                  <c:v>3</c:v>
                </c:pt>
                <c:pt idx="9">
                  <c:v>3</c:v>
                </c:pt>
                <c:pt idx="10">
                  <c:v>3</c:v>
                </c:pt>
                <c:pt idx="11">
                  <c:v>3</c:v>
                </c:pt>
              </c:numCache>
            </c:numRef>
          </c:val>
          <c:smooth val="0"/>
        </c:ser>
        <c:dLbls>
          <c:showLegendKey val="0"/>
          <c:showVal val="0"/>
          <c:showCatName val="0"/>
          <c:showSerName val="0"/>
          <c:showPercent val="0"/>
          <c:showBubbleSize val="0"/>
        </c:dLbls>
        <c:marker val="1"/>
        <c:smooth val="0"/>
        <c:axId val="940132912"/>
        <c:axId val="940133696"/>
      </c:lineChart>
      <c:dateAx>
        <c:axId val="940132912"/>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133696"/>
        <c:crosses val="autoZero"/>
        <c:auto val="1"/>
        <c:lblOffset val="100"/>
        <c:baseTimeUnit val="months"/>
      </c:dateAx>
      <c:valAx>
        <c:axId val="940133696"/>
        <c:scaling>
          <c:orientation val="minMax"/>
          <c:max val="1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132912"/>
        <c:crosses val="autoZero"/>
        <c:crossBetween val="between"/>
      </c:valAx>
      <c:spPr>
        <a:noFill/>
        <a:ln>
          <a:noFill/>
        </a:ln>
        <a:effectLst/>
      </c:spPr>
    </c:plotArea>
    <c:legend>
      <c:legendPos val="b"/>
      <c:layout>
        <c:manualLayout>
          <c:xMode val="edge"/>
          <c:yMode val="edge"/>
          <c:x val="0.27470494313210853"/>
          <c:y val="0.13483741615631378"/>
          <c:w val="0.54905183727034124"/>
          <c:h val="9.486563073421130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4130835271607308E-2"/>
          <c:y val="0.13678905687544995"/>
          <c:w val="0.9278023173932527"/>
          <c:h val="0.73759346496374778"/>
        </c:manualLayout>
      </c:layout>
      <c:barChart>
        <c:barDir val="col"/>
        <c:grouping val="clustered"/>
        <c:varyColors val="0"/>
        <c:ser>
          <c:idx val="0"/>
          <c:order val="0"/>
          <c:tx>
            <c:strRef>
              <c:f>'KS4 Avg 8 score byEO'!$B$5</c:f>
              <c:strCache>
                <c:ptCount val="1"/>
                <c:pt idx="0">
                  <c:v>Croydon</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0">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'KS4 Avg 8 score byEO'!$C$4:$G$4</c:f>
              <c:strCache>
                <c:ptCount val="5"/>
                <c:pt idx="0">
                  <c:v>White</c:v>
                </c:pt>
                <c:pt idx="1">
                  <c:v>Mixed</c:v>
                </c:pt>
                <c:pt idx="2">
                  <c:v>Asian</c:v>
                </c:pt>
                <c:pt idx="3">
                  <c:v>Black</c:v>
                </c:pt>
                <c:pt idx="4">
                  <c:v>Chinese</c:v>
                </c:pt>
              </c:strCache>
            </c:strRef>
          </c:cat>
          <c:val>
            <c:numRef>
              <c:f>'KS4 Avg 8 score byEO'!$C$5:$G$5</c:f>
              <c:numCache>
                <c:formatCode>0.0</c:formatCode>
                <c:ptCount val="5"/>
                <c:pt idx="0">
                  <c:v>45.6</c:v>
                </c:pt>
                <c:pt idx="1">
                  <c:v>47.2</c:v>
                </c:pt>
                <c:pt idx="2">
                  <c:v>51.5</c:v>
                </c:pt>
                <c:pt idx="3">
                  <c:v>43</c:v>
                </c:pt>
                <c:pt idx="4">
                  <c:v>64.5</c:v>
                </c:pt>
              </c:numCache>
            </c:numRef>
          </c:val>
        </c:ser>
        <c:ser>
          <c:idx val="1"/>
          <c:order val="1"/>
          <c:tx>
            <c:strRef>
              <c:f>'KS4 Avg 8 score byEO'!$B$6</c:f>
              <c:strCache>
                <c:ptCount val="1"/>
                <c:pt idx="0">
                  <c:v>Outer London</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'KS4 Avg 8 score byEO'!$C$4:$G$4</c:f>
              <c:strCache>
                <c:ptCount val="5"/>
                <c:pt idx="0">
                  <c:v>White</c:v>
                </c:pt>
                <c:pt idx="1">
                  <c:v>Mixed</c:v>
                </c:pt>
                <c:pt idx="2">
                  <c:v>Asian</c:v>
                </c:pt>
                <c:pt idx="3">
                  <c:v>Black</c:v>
                </c:pt>
                <c:pt idx="4">
                  <c:v>Chinese</c:v>
                </c:pt>
              </c:strCache>
            </c:strRef>
          </c:cat>
          <c:val>
            <c:numRef>
              <c:f>'KS4 Avg 8 score byEO'!$C$6:$G$6</c:f>
              <c:numCache>
                <c:formatCode>0.0</c:formatCode>
                <c:ptCount val="5"/>
                <c:pt idx="0">
                  <c:v>48.1</c:v>
                </c:pt>
                <c:pt idx="1">
                  <c:v>49.6</c:v>
                </c:pt>
                <c:pt idx="2">
                  <c:v>55</c:v>
                </c:pt>
                <c:pt idx="3">
                  <c:v>45.8</c:v>
                </c:pt>
                <c:pt idx="4">
                  <c:v>65.900000000000006</c:v>
                </c:pt>
              </c:numCache>
            </c:numRef>
          </c:val>
        </c:ser>
        <c:ser>
          <c:idx val="2"/>
          <c:order val="2"/>
          <c:tx>
            <c:strRef>
              <c:f>'KS4 Avg 8 score byEO'!$B$7</c:f>
              <c:strCache>
                <c:ptCount val="1"/>
                <c:pt idx="0">
                  <c:v>England</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'KS4 Avg 8 score byEO'!$C$4:$G$4</c:f>
              <c:strCache>
                <c:ptCount val="5"/>
                <c:pt idx="0">
                  <c:v>White</c:v>
                </c:pt>
                <c:pt idx="1">
                  <c:v>Mixed</c:v>
                </c:pt>
                <c:pt idx="2">
                  <c:v>Asian</c:v>
                </c:pt>
                <c:pt idx="3">
                  <c:v>Black</c:v>
                </c:pt>
                <c:pt idx="4">
                  <c:v>Chinese</c:v>
                </c:pt>
              </c:strCache>
            </c:strRef>
          </c:cat>
          <c:val>
            <c:numRef>
              <c:f>'KS4 Avg 8 score byEO'!$C$7:$G$7</c:f>
              <c:numCache>
                <c:formatCode>0.0</c:formatCode>
                <c:ptCount val="5"/>
                <c:pt idx="0">
                  <c:v>46</c:v>
                </c:pt>
                <c:pt idx="1">
                  <c:v>47.1</c:v>
                </c:pt>
                <c:pt idx="2">
                  <c:v>50.2</c:v>
                </c:pt>
                <c:pt idx="3">
                  <c:v>45</c:v>
                </c:pt>
                <c:pt idx="4">
                  <c:v>63</c:v>
                </c:pt>
              </c:numCache>
            </c:numRef>
          </c:val>
        </c:ser>
        <c:dLbls>
          <c:showLegendKey val="0"/>
          <c:showVal val="0"/>
          <c:showCatName val="0"/>
          <c:showSerName val="0"/>
          <c:showPercent val="0"/>
          <c:showBubbleSize val="0"/>
        </c:dLbls>
        <c:gapWidth val="36"/>
        <c:axId val="567449600"/>
        <c:axId val="567447640"/>
      </c:barChart>
      <c:catAx>
        <c:axId val="567449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567447640"/>
        <c:crosses val="autoZero"/>
        <c:auto val="1"/>
        <c:lblAlgn val="ctr"/>
        <c:lblOffset val="100"/>
        <c:noMultiLvlLbl val="0"/>
      </c:catAx>
      <c:valAx>
        <c:axId val="567447640"/>
        <c:scaling>
          <c:orientation val="minMax"/>
          <c:max val="8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67449600"/>
        <c:crosses val="autoZero"/>
        <c:crossBetween val="between"/>
      </c:valAx>
      <c:spPr>
        <a:noFill/>
        <a:ln>
          <a:noFill/>
        </a:ln>
        <a:effectLst/>
      </c:spPr>
    </c:plotArea>
    <c:legend>
      <c:legendPos val="b"/>
      <c:layout>
        <c:manualLayout>
          <c:xMode val="edge"/>
          <c:yMode val="edge"/>
          <c:x val="0.20518413311543607"/>
          <c:y val="2.8527202867687736E-2"/>
          <c:w val="0.63188138463824095"/>
          <c:h val="6.9458852740599639E-2"/>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2.3720472440944884E-2"/>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1081714785651793"/>
          <c:y val="0.15782407407407409"/>
          <c:w val="0.84473840769903763"/>
          <c:h val="0.73477653834937295"/>
        </c:manualLayout>
      </c:layout>
      <c:lineChart>
        <c:grouping val="standard"/>
        <c:varyColors val="0"/>
        <c:ser>
          <c:idx val="0"/>
          <c:order val="0"/>
          <c:tx>
            <c:strRef>
              <c:f>ASB!$F$45</c:f>
              <c:strCache>
                <c:ptCount val="1"/>
                <c:pt idx="0">
                  <c:v>ASB reported incidents </c:v>
                </c:pt>
              </c:strCache>
            </c:strRef>
          </c:tx>
          <c:spPr>
            <a:ln w="28575" cap="rnd">
              <a:solidFill>
                <a:schemeClr val="accent1"/>
              </a:solidFill>
              <a:round/>
            </a:ln>
            <a:effectLst/>
          </c:spPr>
          <c:marker>
            <c:symbol val="none"/>
          </c:marker>
          <c:dLbls>
            <c:dLbl>
              <c:idx val="2"/>
              <c:layout>
                <c:manualLayout>
                  <c:x val="0"/>
                  <c:y val="-1.8518518518518517E-2"/>
                </c:manualLayout>
              </c:layout>
              <c:showLegendKey val="0"/>
              <c:showVal val="1"/>
              <c:showCatName val="0"/>
              <c:showSerName val="0"/>
              <c:showPercent val="0"/>
              <c:showBubbleSize val="0"/>
              <c:extLst>
                <c:ext xmlns:c15="http://schemas.microsoft.com/office/drawing/2012/chart" uri="{CE6537A1-D6FC-4f65-9D91-7224C49458BB}"/>
              </c:extLst>
            </c:dLbl>
            <c:dLbl>
              <c:idx val="3"/>
              <c:layout>
                <c:manualLayout>
                  <c:x val="2.777777777777676E-3"/>
                  <c:y val="1.8518518518518517E-2"/>
                </c:manualLayout>
              </c:layout>
              <c:showLegendKey val="0"/>
              <c:showVal val="1"/>
              <c:showCatName val="0"/>
              <c:showSerName val="0"/>
              <c:showPercent val="0"/>
              <c:showBubbleSize val="0"/>
              <c:extLst>
                <c:ext xmlns:c15="http://schemas.microsoft.com/office/drawing/2012/chart" uri="{CE6537A1-D6FC-4f65-9D91-7224C49458BB}"/>
              </c:extLst>
            </c:dLbl>
            <c:dLbl>
              <c:idx val="4"/>
              <c:layout>
                <c:manualLayout>
                  <c:x val="0"/>
                  <c:y val="-1.3888888888888888E-2"/>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ASB!$G$44:$L$44</c:f>
              <c:numCache>
                <c:formatCode>mmm\-yy</c:formatCode>
                <c:ptCount val="6"/>
                <c:pt idx="0">
                  <c:v>41334</c:v>
                </c:pt>
                <c:pt idx="1">
                  <c:v>41699</c:v>
                </c:pt>
                <c:pt idx="2">
                  <c:v>42064</c:v>
                </c:pt>
                <c:pt idx="3">
                  <c:v>42430</c:v>
                </c:pt>
                <c:pt idx="4">
                  <c:v>42795</c:v>
                </c:pt>
                <c:pt idx="5">
                  <c:v>43160</c:v>
                </c:pt>
              </c:numCache>
            </c:numRef>
          </c:cat>
          <c:val>
            <c:numRef>
              <c:f>ASB!$G$45:$L$45</c:f>
              <c:numCache>
                <c:formatCode>#,##0</c:formatCode>
                <c:ptCount val="6"/>
                <c:pt idx="0">
                  <c:v>16116</c:v>
                </c:pt>
                <c:pt idx="1">
                  <c:v>11665</c:v>
                </c:pt>
                <c:pt idx="2">
                  <c:v>9441</c:v>
                </c:pt>
                <c:pt idx="3">
                  <c:v>7820</c:v>
                </c:pt>
                <c:pt idx="4">
                  <c:v>9404</c:v>
                </c:pt>
                <c:pt idx="5">
                  <c:v>8183</c:v>
                </c:pt>
              </c:numCache>
            </c:numRef>
          </c:val>
          <c:smooth val="0"/>
        </c:ser>
        <c:dLbls>
          <c:showLegendKey val="0"/>
          <c:showVal val="0"/>
          <c:showCatName val="0"/>
          <c:showSerName val="0"/>
          <c:showPercent val="0"/>
          <c:showBubbleSize val="0"/>
        </c:dLbls>
        <c:smooth val="0"/>
        <c:axId val="940139184"/>
        <c:axId val="940130952"/>
      </c:lineChart>
      <c:catAx>
        <c:axId val="940139184"/>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130952"/>
        <c:crosses val="autoZero"/>
        <c:auto val="0"/>
        <c:lblAlgn val="ctr"/>
        <c:lblOffset val="100"/>
        <c:noMultiLvlLbl val="0"/>
      </c:catAx>
      <c:valAx>
        <c:axId val="9401309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139184"/>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300318381059254"/>
          <c:y val="6.2864840592725638E-2"/>
          <c:w val="0.83759778093790038"/>
          <c:h val="0.38061125273575197"/>
        </c:manualLayout>
      </c:layout>
      <c:barChart>
        <c:barDir val="col"/>
        <c:grouping val="clustered"/>
        <c:varyColors val="0"/>
        <c:ser>
          <c:idx val="0"/>
          <c:order val="0"/>
          <c:tx>
            <c:strRef>
              <c:f>BP_Graph_Table_3_Fig1!$G$4</c:f>
              <c:strCache>
                <c:ptCount val="1"/>
                <c:pt idx="0">
                  <c:v>Collected household waste per person (kg) (Ex BVPI 84a)</c:v>
                </c:pt>
              </c:strCache>
            </c:strRef>
          </c:tx>
          <c:spPr>
            <a:solidFill>
              <a:srgbClr val="5B9BD5"/>
            </a:solidFill>
            <a:ln w="25400">
              <a:noFill/>
            </a:ln>
          </c:spPr>
          <c:invertIfNegative val="0"/>
          <c:dPt>
            <c:idx val="17"/>
            <c:invertIfNegative val="0"/>
            <c:bubble3D val="0"/>
            <c:spPr>
              <a:solidFill>
                <a:srgbClr val="7030A0"/>
              </a:solidFill>
              <a:ln w="25400">
                <a:noFill/>
              </a:ln>
            </c:spPr>
          </c:dPt>
          <c:dLbls>
            <c:spPr>
              <a:noFill/>
              <a:ln w="25400">
                <a:noFill/>
              </a:ln>
            </c:spPr>
            <c:txPr>
              <a:bodyPr rot="-5400000" vert="horz"/>
              <a:lstStyle/>
              <a:p>
                <a:pPr>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BP_Graph_Table_3_Fig1!$F$5:$F$37</c:f>
              <c:strCache>
                <c:ptCount val="33"/>
                <c:pt idx="0">
                  <c:v>Tower Hamlets LB</c:v>
                </c:pt>
                <c:pt idx="1">
                  <c:v>Ealing LB</c:v>
                </c:pt>
                <c:pt idx="2">
                  <c:v>Islington LB</c:v>
                </c:pt>
                <c:pt idx="3">
                  <c:v>Lambeth LB</c:v>
                </c:pt>
                <c:pt idx="4">
                  <c:v>Hammersmith and Fulham LB</c:v>
                </c:pt>
                <c:pt idx="5">
                  <c:v>Brent LB</c:v>
                </c:pt>
                <c:pt idx="6">
                  <c:v>Camden LB</c:v>
                </c:pt>
                <c:pt idx="7">
                  <c:v>Haringey LB</c:v>
                </c:pt>
                <c:pt idx="8">
                  <c:v>Wandsworth LB</c:v>
                </c:pt>
                <c:pt idx="9">
                  <c:v>Hillingdon LB</c:v>
                </c:pt>
                <c:pt idx="10">
                  <c:v>Hackney LB</c:v>
                </c:pt>
                <c:pt idx="11">
                  <c:v>Hounslow LB</c:v>
                </c:pt>
                <c:pt idx="12">
                  <c:v>Lewisham LB</c:v>
                </c:pt>
                <c:pt idx="13">
                  <c:v>Royal Borough of Kingston upon Thames </c:v>
                </c:pt>
                <c:pt idx="14">
                  <c:v>Royal Borough of Kensington and Chelsea</c:v>
                </c:pt>
                <c:pt idx="15">
                  <c:v>Newham LB</c:v>
                </c:pt>
                <c:pt idx="16">
                  <c:v>Redbridge LB</c:v>
                </c:pt>
                <c:pt idx="17">
                  <c:v>Croydon LB</c:v>
                </c:pt>
                <c:pt idx="18">
                  <c:v>Enfield LB</c:v>
                </c:pt>
                <c:pt idx="19">
                  <c:v>Waltham Forest LB</c:v>
                </c:pt>
                <c:pt idx="20">
                  <c:v>Southwark LB</c:v>
                </c:pt>
                <c:pt idx="21">
                  <c:v>Merton LB</c:v>
                </c:pt>
                <c:pt idx="22">
                  <c:v>Westminster City Council</c:v>
                </c:pt>
                <c:pt idx="23">
                  <c:v>Sutton LB</c:v>
                </c:pt>
                <c:pt idx="24">
                  <c:v>Barnet LB</c:v>
                </c:pt>
                <c:pt idx="25">
                  <c:v>Harrow LB</c:v>
                </c:pt>
                <c:pt idx="26">
                  <c:v>Greenwich LB</c:v>
                </c:pt>
                <c:pt idx="27">
                  <c:v>Richmond upon Thames LB</c:v>
                </c:pt>
                <c:pt idx="28">
                  <c:v>Bromley LB</c:v>
                </c:pt>
                <c:pt idx="29">
                  <c:v>Bexley LB</c:v>
                </c:pt>
                <c:pt idx="30">
                  <c:v>Havering LB</c:v>
                </c:pt>
                <c:pt idx="31">
                  <c:v>City of London</c:v>
                </c:pt>
                <c:pt idx="32">
                  <c:v>Barking and Dagenham LB</c:v>
                </c:pt>
              </c:strCache>
            </c:strRef>
          </c:cat>
          <c:val>
            <c:numRef>
              <c:f>BP_Graph_Table_3_Fig1!$G$5:$G$37</c:f>
              <c:numCache>
                <c:formatCode>0.0</c:formatCode>
                <c:ptCount val="33"/>
                <c:pt idx="0">
                  <c:v>244.5</c:v>
                </c:pt>
                <c:pt idx="1">
                  <c:v>250.7</c:v>
                </c:pt>
                <c:pt idx="2">
                  <c:v>253</c:v>
                </c:pt>
                <c:pt idx="3">
                  <c:v>260.7</c:v>
                </c:pt>
                <c:pt idx="4">
                  <c:v>280.2</c:v>
                </c:pt>
                <c:pt idx="5">
                  <c:v>293.5</c:v>
                </c:pt>
                <c:pt idx="6">
                  <c:v>301.10000000000002</c:v>
                </c:pt>
                <c:pt idx="7">
                  <c:v>303.60000000000002</c:v>
                </c:pt>
                <c:pt idx="8">
                  <c:v>305.2</c:v>
                </c:pt>
                <c:pt idx="9">
                  <c:v>321.5</c:v>
                </c:pt>
                <c:pt idx="10">
                  <c:v>322.39999999999998</c:v>
                </c:pt>
                <c:pt idx="11">
                  <c:v>326.8</c:v>
                </c:pt>
                <c:pt idx="12">
                  <c:v>333.6</c:v>
                </c:pt>
                <c:pt idx="13">
                  <c:v>343.9</c:v>
                </c:pt>
                <c:pt idx="14">
                  <c:v>345.8</c:v>
                </c:pt>
                <c:pt idx="15">
                  <c:v>346.5</c:v>
                </c:pt>
                <c:pt idx="16">
                  <c:v>353.3</c:v>
                </c:pt>
                <c:pt idx="17">
                  <c:v>355.3</c:v>
                </c:pt>
                <c:pt idx="18">
                  <c:v>356</c:v>
                </c:pt>
                <c:pt idx="19">
                  <c:v>360.2</c:v>
                </c:pt>
                <c:pt idx="20">
                  <c:v>361.3</c:v>
                </c:pt>
                <c:pt idx="21">
                  <c:v>366</c:v>
                </c:pt>
                <c:pt idx="22">
                  <c:v>366.8</c:v>
                </c:pt>
                <c:pt idx="23">
                  <c:v>374.8</c:v>
                </c:pt>
                <c:pt idx="24">
                  <c:v>375.6</c:v>
                </c:pt>
                <c:pt idx="25">
                  <c:v>376.1</c:v>
                </c:pt>
                <c:pt idx="26">
                  <c:v>382.8</c:v>
                </c:pt>
                <c:pt idx="27">
                  <c:v>390.2</c:v>
                </c:pt>
                <c:pt idx="28">
                  <c:v>396.3</c:v>
                </c:pt>
                <c:pt idx="29">
                  <c:v>403</c:v>
                </c:pt>
                <c:pt idx="30">
                  <c:v>404.8</c:v>
                </c:pt>
                <c:pt idx="31">
                  <c:v>405.7</c:v>
                </c:pt>
                <c:pt idx="32">
                  <c:v>405.9</c:v>
                </c:pt>
              </c:numCache>
            </c:numRef>
          </c:val>
        </c:ser>
        <c:dLbls>
          <c:showLegendKey val="0"/>
          <c:showVal val="0"/>
          <c:showCatName val="0"/>
          <c:showSerName val="0"/>
          <c:showPercent val="0"/>
          <c:showBubbleSize val="0"/>
        </c:dLbls>
        <c:gapWidth val="57"/>
        <c:overlap val="-27"/>
        <c:axId val="940131736"/>
        <c:axId val="940134088"/>
      </c:barChart>
      <c:catAx>
        <c:axId val="940131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vert="horz"/>
          <a:lstStyle/>
          <a:p>
            <a:pPr>
              <a:defRPr sz="600"/>
            </a:pPr>
            <a:endParaRPr lang="en-US"/>
          </a:p>
        </c:txPr>
        <c:crossAx val="940134088"/>
        <c:crosses val="autoZero"/>
        <c:auto val="1"/>
        <c:lblAlgn val="ctr"/>
        <c:lblOffset val="100"/>
        <c:noMultiLvlLbl val="0"/>
      </c:catAx>
      <c:valAx>
        <c:axId val="940134088"/>
        <c:scaling>
          <c:orientation val="minMax"/>
          <c:max val="5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ln w="6350">
            <a:noFill/>
          </a:ln>
        </c:spPr>
        <c:txPr>
          <a:bodyPr rot="-60000000" vert="horz"/>
          <a:lstStyle/>
          <a:p>
            <a:pPr>
              <a:defRPr/>
            </a:pPr>
            <a:endParaRPr lang="en-US"/>
          </a:p>
        </c:txPr>
        <c:crossAx val="940131736"/>
        <c:crosses val="autoZero"/>
        <c:crossBetween val="between"/>
      </c:valAx>
      <c:spPr>
        <a:noFill/>
        <a:ln w="25400">
          <a:noFill/>
        </a:ln>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sz="800"/>
      </a:pPr>
      <a:endParaRPr lang="en-US"/>
    </a:p>
  </c:txPr>
  <c:externalData r:id="rId2">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BP_Graph_Table_3_Fig2!$G$4</c:f>
              <c:strCache>
                <c:ptCount val="1"/>
                <c:pt idx="0">
                  <c:v>Percentage of household waste sent for reuse, recycling or composting (Ex NI192)</c:v>
                </c:pt>
              </c:strCache>
            </c:strRef>
          </c:tx>
          <c:spPr>
            <a:solidFill>
              <a:srgbClr val="5B9BD5"/>
            </a:solidFill>
            <a:ln w="25400">
              <a:noFill/>
            </a:ln>
          </c:spPr>
          <c:invertIfNegative val="0"/>
          <c:dPt>
            <c:idx val="25"/>
            <c:invertIfNegative val="0"/>
            <c:bubble3D val="0"/>
            <c:spPr>
              <a:solidFill>
                <a:srgbClr val="7030A0"/>
              </a:solidFill>
              <a:ln w="25400">
                <a:noFill/>
              </a:ln>
            </c:spPr>
          </c:dPt>
          <c:dLbls>
            <c:spPr>
              <a:noFill/>
              <a:ln w="25400">
                <a:noFill/>
              </a:ln>
            </c:spPr>
            <c:txPr>
              <a:bodyPr rot="-540000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BP_Graph_Table_3_Fig2!$F$5:$F$37</c:f>
              <c:strCache>
                <c:ptCount val="33"/>
                <c:pt idx="0">
                  <c:v>Newham LB</c:v>
                </c:pt>
                <c:pt idx="1">
                  <c:v>Westminster City Council</c:v>
                </c:pt>
                <c:pt idx="2">
                  <c:v>Lewisham LB</c:v>
                </c:pt>
                <c:pt idx="3">
                  <c:v>Wandsworth LB</c:v>
                </c:pt>
                <c:pt idx="4">
                  <c:v>Hammersmith and Fulham LB</c:v>
                </c:pt>
                <c:pt idx="5">
                  <c:v>Barking and Dagenham LB</c:v>
                </c:pt>
                <c:pt idx="6">
                  <c:v>Royal Borough of Kensington and Chelsea</c:v>
                </c:pt>
                <c:pt idx="7">
                  <c:v>Camden LB</c:v>
                </c:pt>
                <c:pt idx="8">
                  <c:v>Redbridge LB</c:v>
                </c:pt>
                <c:pt idx="9">
                  <c:v>Hackney LB</c:v>
                </c:pt>
                <c:pt idx="10">
                  <c:v>Tower Hamlets LB</c:v>
                </c:pt>
                <c:pt idx="11">
                  <c:v>City of London</c:v>
                </c:pt>
                <c:pt idx="12">
                  <c:v>Lambeth LB</c:v>
                </c:pt>
                <c:pt idx="13">
                  <c:v>Hounslow LB</c:v>
                </c:pt>
                <c:pt idx="14">
                  <c:v>Islington LB</c:v>
                </c:pt>
                <c:pt idx="15">
                  <c:v>Southwark LB</c:v>
                </c:pt>
                <c:pt idx="16">
                  <c:v>Waltham Forest LB</c:v>
                </c:pt>
                <c:pt idx="17">
                  <c:v>Greenwich LB</c:v>
                </c:pt>
                <c:pt idx="18">
                  <c:v>Haringey LB</c:v>
                </c:pt>
                <c:pt idx="19">
                  <c:v>Merton LB</c:v>
                </c:pt>
                <c:pt idx="20">
                  <c:v>Brent LB</c:v>
                </c:pt>
                <c:pt idx="21">
                  <c:v>Sutton LB</c:v>
                </c:pt>
                <c:pt idx="22">
                  <c:v>Enfield LB</c:v>
                </c:pt>
                <c:pt idx="23">
                  <c:v>Havering LB</c:v>
                </c:pt>
                <c:pt idx="24">
                  <c:v>Barnet LB</c:v>
                </c:pt>
                <c:pt idx="25">
                  <c:v>Croydon LB</c:v>
                </c:pt>
                <c:pt idx="26">
                  <c:v>Harrow LB</c:v>
                </c:pt>
                <c:pt idx="27">
                  <c:v>Richmond upon Thames LB</c:v>
                </c:pt>
                <c:pt idx="28">
                  <c:v>Hillingdon LB</c:v>
                </c:pt>
                <c:pt idx="29">
                  <c:v>Bromley LB</c:v>
                </c:pt>
                <c:pt idx="30">
                  <c:v>Royal Borough of Kingston upon Thames </c:v>
                </c:pt>
                <c:pt idx="31">
                  <c:v>Ealing LB</c:v>
                </c:pt>
                <c:pt idx="32">
                  <c:v>Bexley LB</c:v>
                </c:pt>
              </c:strCache>
            </c:strRef>
          </c:cat>
          <c:val>
            <c:numRef>
              <c:f>BP_Graph_Table_3_Fig2!$G$5:$G$37</c:f>
              <c:numCache>
                <c:formatCode>0.0%</c:formatCode>
                <c:ptCount val="33"/>
                <c:pt idx="0">
                  <c:v>0.14099999999999999</c:v>
                </c:pt>
                <c:pt idx="1">
                  <c:v>0.17399999999999999</c:v>
                </c:pt>
                <c:pt idx="2">
                  <c:v>0.17699999999999999</c:v>
                </c:pt>
                <c:pt idx="3">
                  <c:v>0.219</c:v>
                </c:pt>
                <c:pt idx="4">
                  <c:v>0.23200000000000001</c:v>
                </c:pt>
                <c:pt idx="5">
                  <c:v>0.253</c:v>
                </c:pt>
                <c:pt idx="6">
                  <c:v>0.25700000000000001</c:v>
                </c:pt>
                <c:pt idx="7">
                  <c:v>0.26600000000000001</c:v>
                </c:pt>
                <c:pt idx="8">
                  <c:v>0.26700000000000002</c:v>
                </c:pt>
                <c:pt idx="9">
                  <c:v>0.27</c:v>
                </c:pt>
                <c:pt idx="10">
                  <c:v>0.27600000000000002</c:v>
                </c:pt>
                <c:pt idx="11">
                  <c:v>0.28499999999999998</c:v>
                </c:pt>
                <c:pt idx="12">
                  <c:v>0.28799999999999998</c:v>
                </c:pt>
                <c:pt idx="13">
                  <c:v>0.30099999999999999</c:v>
                </c:pt>
                <c:pt idx="14">
                  <c:v>0.316</c:v>
                </c:pt>
                <c:pt idx="15">
                  <c:v>0.34</c:v>
                </c:pt>
                <c:pt idx="16">
                  <c:v>0.34399999999999997</c:v>
                </c:pt>
                <c:pt idx="17">
                  <c:v>0.34899999999999998</c:v>
                </c:pt>
                <c:pt idx="18">
                  <c:v>0.35699999999999998</c:v>
                </c:pt>
                <c:pt idx="19">
                  <c:v>0.35699999999999998</c:v>
                </c:pt>
                <c:pt idx="20">
                  <c:v>0.36399999999999999</c:v>
                </c:pt>
                <c:pt idx="21">
                  <c:v>0.36499999999999999</c:v>
                </c:pt>
                <c:pt idx="22">
                  <c:v>0.372</c:v>
                </c:pt>
                <c:pt idx="23">
                  <c:v>0.373</c:v>
                </c:pt>
                <c:pt idx="24">
                  <c:v>0.374</c:v>
                </c:pt>
                <c:pt idx="25">
                  <c:v>0.38600000000000001</c:v>
                </c:pt>
                <c:pt idx="26">
                  <c:v>0.39700000000000002</c:v>
                </c:pt>
                <c:pt idx="27">
                  <c:v>0.42399999999999999</c:v>
                </c:pt>
                <c:pt idx="28">
                  <c:v>0.434</c:v>
                </c:pt>
                <c:pt idx="29">
                  <c:v>0.46899999999999997</c:v>
                </c:pt>
                <c:pt idx="30">
                  <c:v>0.47</c:v>
                </c:pt>
                <c:pt idx="31">
                  <c:v>0.50700000000000001</c:v>
                </c:pt>
                <c:pt idx="32">
                  <c:v>0.52700000000000002</c:v>
                </c:pt>
              </c:numCache>
            </c:numRef>
          </c:val>
        </c:ser>
        <c:dLbls>
          <c:showLegendKey val="0"/>
          <c:showVal val="0"/>
          <c:showCatName val="0"/>
          <c:showSerName val="0"/>
          <c:showPercent val="0"/>
          <c:showBubbleSize val="0"/>
        </c:dLbls>
        <c:gapWidth val="81"/>
        <c:overlap val="-27"/>
        <c:axId val="940135264"/>
        <c:axId val="940136440"/>
      </c:barChart>
      <c:catAx>
        <c:axId val="940135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n-US"/>
          </a:p>
        </c:txPr>
        <c:crossAx val="940136440"/>
        <c:crosses val="autoZero"/>
        <c:auto val="1"/>
        <c:lblAlgn val="ctr"/>
        <c:lblOffset val="100"/>
        <c:noMultiLvlLbl val="0"/>
      </c:catAx>
      <c:valAx>
        <c:axId val="940136440"/>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ln w="6350">
            <a:noFill/>
          </a:ln>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0135264"/>
        <c:crosses val="autoZero"/>
        <c:crossBetween val="between"/>
        <c:majorUnit val="0.2"/>
      </c:valAx>
      <c:spPr>
        <a:noFill/>
        <a:ln w="25400">
          <a:noFill/>
        </a:ln>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2">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986351706036745"/>
          <c:y val="7.4548702245552642E-2"/>
          <c:w val="0.86235870516185475"/>
          <c:h val="0.8326195683872849"/>
        </c:manualLayout>
      </c:layout>
      <c:barChart>
        <c:barDir val="col"/>
        <c:grouping val="clustered"/>
        <c:varyColors val="0"/>
        <c:ser>
          <c:idx val="3"/>
          <c:order val="3"/>
          <c:tx>
            <c:strRef>
              <c:f>'Road Traffic accs'!$E$9</c:f>
              <c:strCache>
                <c:ptCount val="1"/>
                <c:pt idx="0">
                  <c:v>TOTAL</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'Road Traffic accs'!$A$10:$A$15</c:f>
              <c:numCache>
                <c:formatCode>General</c:formatCode>
                <c:ptCount val="5"/>
                <c:pt idx="0">
                  <c:v>2013</c:v>
                </c:pt>
                <c:pt idx="1">
                  <c:v>2014</c:v>
                </c:pt>
                <c:pt idx="2">
                  <c:v>2015</c:v>
                </c:pt>
                <c:pt idx="3">
                  <c:v>2016</c:v>
                </c:pt>
                <c:pt idx="4">
                  <c:v>2017</c:v>
                </c:pt>
              </c:numCache>
            </c:numRef>
          </c:cat>
          <c:val>
            <c:numRef>
              <c:f>'Road Traffic accs'!$E$10:$E$15</c:f>
              <c:numCache>
                <c:formatCode>0</c:formatCode>
                <c:ptCount val="5"/>
                <c:pt idx="0">
                  <c:v>895</c:v>
                </c:pt>
                <c:pt idx="1">
                  <c:v>981</c:v>
                </c:pt>
                <c:pt idx="2">
                  <c:v>900</c:v>
                </c:pt>
                <c:pt idx="3">
                  <c:v>906</c:v>
                </c:pt>
                <c:pt idx="4">
                  <c:v>946</c:v>
                </c:pt>
              </c:numCache>
            </c:numRef>
          </c:val>
        </c:ser>
        <c:dLbls>
          <c:showLegendKey val="0"/>
          <c:showVal val="0"/>
          <c:showCatName val="0"/>
          <c:showSerName val="0"/>
          <c:showPercent val="0"/>
          <c:showBubbleSize val="0"/>
        </c:dLbls>
        <c:gapWidth val="39"/>
        <c:overlap val="-27"/>
        <c:axId val="940139576"/>
        <c:axId val="940139968"/>
        <c:extLst>
          <c:ext xmlns:c15="http://schemas.microsoft.com/office/drawing/2012/chart" uri="{02D57815-91ED-43cb-92C2-25804820EDAC}">
            <c15:filteredBarSeries>
              <c15:ser>
                <c:idx val="0"/>
                <c:order val="0"/>
                <c:tx>
                  <c:strRef>
                    <c:extLst>
                      <c:ext uri="{02D57815-91ED-43cb-92C2-25804820EDAC}">
                        <c15:formulaRef>
                          <c15:sqref>'Road Traffic accs'!$B$9</c15:sqref>
                        </c15:formulaRef>
                      </c:ext>
                    </c:extLst>
                    <c:strCache>
                      <c:ptCount val="1"/>
                      <c:pt idx="0">
                        <c:v>Croydon Central</c:v>
                      </c:pt>
                    </c:strCache>
                  </c:strRef>
                </c:tx>
                <c:spPr>
                  <a:solidFill>
                    <a:schemeClr val="accent1"/>
                  </a:solidFill>
                  <a:ln>
                    <a:noFill/>
                  </a:ln>
                  <a:effectLst/>
                </c:spPr>
                <c:invertIfNegative val="0"/>
                <c:cat>
                  <c:numRef>
                    <c:extLst>
                      <c:ext uri="{02D57815-91ED-43cb-92C2-25804820EDAC}">
                        <c15:formulaRef>
                          <c15:sqref>'Road Traffic accs'!$A$10:$A$15</c15:sqref>
                        </c15:formulaRef>
                      </c:ext>
                    </c:extLst>
                    <c:numCache>
                      <c:formatCode>General</c:formatCode>
                      <c:ptCount val="5"/>
                      <c:pt idx="0">
                        <c:v>2013</c:v>
                      </c:pt>
                      <c:pt idx="1">
                        <c:v>2014</c:v>
                      </c:pt>
                      <c:pt idx="2">
                        <c:v>2015</c:v>
                      </c:pt>
                      <c:pt idx="3">
                        <c:v>2016</c:v>
                      </c:pt>
                      <c:pt idx="4">
                        <c:v>2017</c:v>
                      </c:pt>
                    </c:numCache>
                  </c:numRef>
                </c:cat>
                <c:val>
                  <c:numRef>
                    <c:extLst>
                      <c:ext uri="{02D57815-91ED-43cb-92C2-25804820EDAC}">
                        <c15:formulaRef>
                          <c15:sqref>'Road Traffic accs'!$B$10:$B$14</c15:sqref>
                        </c15:formulaRef>
                      </c:ext>
                    </c:extLst>
                    <c:numCache>
                      <c:formatCode>0</c:formatCode>
                      <c:ptCount val="4"/>
                      <c:pt idx="0">
                        <c:v>240</c:v>
                      </c:pt>
                      <c:pt idx="1">
                        <c:v>269</c:v>
                      </c:pt>
                      <c:pt idx="2">
                        <c:v>227</c:v>
                      </c:pt>
                      <c:pt idx="3">
                        <c:v>231</c:v>
                      </c:pt>
                    </c:numCache>
                  </c:numRef>
                </c:val>
              </c15:ser>
            </c15:filteredBarSeries>
            <c15:filteredBarSeries>
              <c15:ser>
                <c:idx val="1"/>
                <c:order val="1"/>
                <c:tx>
                  <c:strRef>
                    <c:extLst xmlns:c15="http://schemas.microsoft.com/office/drawing/2012/chart">
                      <c:ext xmlns:c15="http://schemas.microsoft.com/office/drawing/2012/chart" uri="{02D57815-91ED-43cb-92C2-25804820EDAC}">
                        <c15:formulaRef>
                          <c15:sqref>'Road Traffic accs'!$C$9</c15:sqref>
                        </c15:formulaRef>
                      </c:ext>
                    </c:extLst>
                    <c:strCache>
                      <c:ptCount val="1"/>
                      <c:pt idx="0">
                        <c:v>Croydon North</c:v>
                      </c:pt>
                    </c:strCache>
                  </c:strRef>
                </c:tx>
                <c:spPr>
                  <a:solidFill>
                    <a:schemeClr val="accent2"/>
                  </a:solidFill>
                  <a:ln>
                    <a:noFill/>
                  </a:ln>
                  <a:effectLst/>
                </c:spPr>
                <c:invertIfNegative val="0"/>
                <c:cat>
                  <c:numRef>
                    <c:extLst xmlns:c15="http://schemas.microsoft.com/office/drawing/2012/chart">
                      <c:ext xmlns:c15="http://schemas.microsoft.com/office/drawing/2012/chart" uri="{02D57815-91ED-43cb-92C2-25804820EDAC}">
                        <c15:formulaRef>
                          <c15:sqref>'Road Traffic accs'!$A$10:$A$15</c15:sqref>
                        </c15:formulaRef>
                      </c:ext>
                    </c:extLst>
                    <c:numCache>
                      <c:formatCode>General</c:formatCode>
                      <c:ptCount val="5"/>
                      <c:pt idx="0">
                        <c:v>2013</c:v>
                      </c:pt>
                      <c:pt idx="1">
                        <c:v>2014</c:v>
                      </c:pt>
                      <c:pt idx="2">
                        <c:v>2015</c:v>
                      </c:pt>
                      <c:pt idx="3">
                        <c:v>2016</c:v>
                      </c:pt>
                      <c:pt idx="4">
                        <c:v>2017</c:v>
                      </c:pt>
                    </c:numCache>
                  </c:numRef>
                </c:cat>
                <c:val>
                  <c:numRef>
                    <c:extLst xmlns:c15="http://schemas.microsoft.com/office/drawing/2012/chart">
                      <c:ext xmlns:c15="http://schemas.microsoft.com/office/drawing/2012/chart" uri="{02D57815-91ED-43cb-92C2-25804820EDAC}">
                        <c15:formulaRef>
                          <c15:sqref>'Road Traffic accs'!$C$10:$C$14</c15:sqref>
                        </c15:formulaRef>
                      </c:ext>
                    </c:extLst>
                    <c:numCache>
                      <c:formatCode>0</c:formatCode>
                      <c:ptCount val="4"/>
                      <c:pt idx="0">
                        <c:v>385</c:v>
                      </c:pt>
                      <c:pt idx="1">
                        <c:v>442</c:v>
                      </c:pt>
                      <c:pt idx="2">
                        <c:v>418</c:v>
                      </c:pt>
                      <c:pt idx="3">
                        <c:v>423</c:v>
                      </c:pt>
                    </c:numCache>
                  </c:numRef>
                </c:val>
              </c15:ser>
            </c15:filteredBarSeries>
            <c15:filteredBarSeries>
              <c15:ser>
                <c:idx val="2"/>
                <c:order val="2"/>
                <c:tx>
                  <c:strRef>
                    <c:extLst xmlns:c15="http://schemas.microsoft.com/office/drawing/2012/chart">
                      <c:ext xmlns:c15="http://schemas.microsoft.com/office/drawing/2012/chart" uri="{02D57815-91ED-43cb-92C2-25804820EDAC}">
                        <c15:formulaRef>
                          <c15:sqref>'Road Traffic accs'!$D$9</c15:sqref>
                        </c15:formulaRef>
                      </c:ext>
                    </c:extLst>
                    <c:strCache>
                      <c:ptCount val="1"/>
                      <c:pt idx="0">
                        <c:v>Croydon South</c:v>
                      </c:pt>
                    </c:strCache>
                  </c:strRef>
                </c:tx>
                <c:spPr>
                  <a:solidFill>
                    <a:schemeClr val="accent3"/>
                  </a:solidFill>
                  <a:ln>
                    <a:noFill/>
                  </a:ln>
                  <a:effectLst/>
                </c:spPr>
                <c:invertIfNegative val="0"/>
                <c:cat>
                  <c:numRef>
                    <c:extLst xmlns:c15="http://schemas.microsoft.com/office/drawing/2012/chart">
                      <c:ext xmlns:c15="http://schemas.microsoft.com/office/drawing/2012/chart" uri="{02D57815-91ED-43cb-92C2-25804820EDAC}">
                        <c15:formulaRef>
                          <c15:sqref>'Road Traffic accs'!$A$10:$A$15</c15:sqref>
                        </c15:formulaRef>
                      </c:ext>
                    </c:extLst>
                    <c:numCache>
                      <c:formatCode>General</c:formatCode>
                      <c:ptCount val="5"/>
                      <c:pt idx="0">
                        <c:v>2013</c:v>
                      </c:pt>
                      <c:pt idx="1">
                        <c:v>2014</c:v>
                      </c:pt>
                      <c:pt idx="2">
                        <c:v>2015</c:v>
                      </c:pt>
                      <c:pt idx="3">
                        <c:v>2016</c:v>
                      </c:pt>
                      <c:pt idx="4">
                        <c:v>2017</c:v>
                      </c:pt>
                    </c:numCache>
                  </c:numRef>
                </c:cat>
                <c:val>
                  <c:numRef>
                    <c:extLst xmlns:c15="http://schemas.microsoft.com/office/drawing/2012/chart">
                      <c:ext xmlns:c15="http://schemas.microsoft.com/office/drawing/2012/chart" uri="{02D57815-91ED-43cb-92C2-25804820EDAC}">
                        <c15:formulaRef>
                          <c15:sqref>'Road Traffic accs'!$D$10:$D$14</c15:sqref>
                        </c15:formulaRef>
                      </c:ext>
                    </c:extLst>
                    <c:numCache>
                      <c:formatCode>0</c:formatCode>
                      <c:ptCount val="4"/>
                      <c:pt idx="0">
                        <c:v>270</c:v>
                      </c:pt>
                      <c:pt idx="1">
                        <c:v>270</c:v>
                      </c:pt>
                      <c:pt idx="2">
                        <c:v>255</c:v>
                      </c:pt>
                      <c:pt idx="3">
                        <c:v>252</c:v>
                      </c:pt>
                    </c:numCache>
                  </c:numRef>
                </c:val>
              </c15:ser>
            </c15:filteredBarSeries>
          </c:ext>
        </c:extLst>
      </c:barChart>
      <c:catAx>
        <c:axId val="940139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940139968"/>
        <c:crosses val="autoZero"/>
        <c:auto val="1"/>
        <c:lblAlgn val="ctr"/>
        <c:lblOffset val="100"/>
        <c:noMultiLvlLbl val="0"/>
      </c:catAx>
      <c:valAx>
        <c:axId val="9401399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940139576"/>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2922028471137465E-2"/>
          <c:y val="5.6910569105691054E-2"/>
          <c:w val="0.68392007679202038"/>
          <c:h val="0.77205940720824529"/>
        </c:manualLayout>
      </c:layout>
      <c:barChart>
        <c:barDir val="col"/>
        <c:grouping val="stacked"/>
        <c:varyColors val="0"/>
        <c:ser>
          <c:idx val="0"/>
          <c:order val="0"/>
          <c:tx>
            <c:strRef>
              <c:f>'KSI by transport'!$B$15</c:f>
              <c:strCache>
                <c:ptCount val="1"/>
                <c:pt idx="0">
                  <c:v>Pedestrian</c:v>
                </c:pt>
              </c:strCache>
            </c:strRef>
          </c:tx>
          <c:spPr>
            <a:solidFill>
              <a:schemeClr val="accent1"/>
            </a:solidFill>
            <a:ln>
              <a:noFill/>
            </a:ln>
            <a:effectLst/>
          </c:spPr>
          <c:invertIfNegative val="0"/>
          <c:cat>
            <c:numRef>
              <c:f>'KSI by transport'!$A$16:$A$21</c:f>
              <c:numCache>
                <c:formatCode>General</c:formatCode>
                <c:ptCount val="5"/>
                <c:pt idx="0">
                  <c:v>2013</c:v>
                </c:pt>
                <c:pt idx="1">
                  <c:v>2014</c:v>
                </c:pt>
                <c:pt idx="2">
                  <c:v>2015</c:v>
                </c:pt>
                <c:pt idx="3">
                  <c:v>2016</c:v>
                </c:pt>
                <c:pt idx="4">
                  <c:v>2017</c:v>
                </c:pt>
              </c:numCache>
            </c:numRef>
          </c:cat>
          <c:val>
            <c:numRef>
              <c:f>'KSI by transport'!$B$16:$B$21</c:f>
              <c:numCache>
                <c:formatCode>#,##0</c:formatCode>
                <c:ptCount val="5"/>
                <c:pt idx="0">
                  <c:v>20</c:v>
                </c:pt>
                <c:pt idx="1">
                  <c:v>27</c:v>
                </c:pt>
                <c:pt idx="2">
                  <c:v>23</c:v>
                </c:pt>
                <c:pt idx="3">
                  <c:v>23</c:v>
                </c:pt>
                <c:pt idx="4">
                  <c:v>41</c:v>
                </c:pt>
              </c:numCache>
            </c:numRef>
          </c:val>
        </c:ser>
        <c:ser>
          <c:idx val="1"/>
          <c:order val="1"/>
          <c:tx>
            <c:strRef>
              <c:f>'KSI by transport'!$C$15</c:f>
              <c:strCache>
                <c:ptCount val="1"/>
                <c:pt idx="0">
                  <c:v>Pedal cycle</c:v>
                </c:pt>
              </c:strCache>
            </c:strRef>
          </c:tx>
          <c:spPr>
            <a:solidFill>
              <a:schemeClr val="accent2"/>
            </a:solidFill>
            <a:ln>
              <a:noFill/>
            </a:ln>
            <a:effectLst/>
          </c:spPr>
          <c:invertIfNegative val="0"/>
          <c:cat>
            <c:numRef>
              <c:f>'KSI by transport'!$A$16:$A$21</c:f>
              <c:numCache>
                <c:formatCode>General</c:formatCode>
                <c:ptCount val="5"/>
                <c:pt idx="0">
                  <c:v>2013</c:v>
                </c:pt>
                <c:pt idx="1">
                  <c:v>2014</c:v>
                </c:pt>
                <c:pt idx="2">
                  <c:v>2015</c:v>
                </c:pt>
                <c:pt idx="3">
                  <c:v>2016</c:v>
                </c:pt>
                <c:pt idx="4">
                  <c:v>2017</c:v>
                </c:pt>
              </c:numCache>
            </c:numRef>
          </c:cat>
          <c:val>
            <c:numRef>
              <c:f>'KSI by transport'!$C$16:$C$21</c:f>
              <c:numCache>
                <c:formatCode>#,##0</c:formatCode>
                <c:ptCount val="5"/>
                <c:pt idx="0">
                  <c:v>7</c:v>
                </c:pt>
                <c:pt idx="1">
                  <c:v>4</c:v>
                </c:pt>
                <c:pt idx="2">
                  <c:v>9</c:v>
                </c:pt>
                <c:pt idx="3">
                  <c:v>5</c:v>
                </c:pt>
                <c:pt idx="4">
                  <c:v>15</c:v>
                </c:pt>
              </c:numCache>
            </c:numRef>
          </c:val>
        </c:ser>
        <c:ser>
          <c:idx val="2"/>
          <c:order val="2"/>
          <c:tx>
            <c:strRef>
              <c:f>'KSI by transport'!$D$15</c:f>
              <c:strCache>
                <c:ptCount val="1"/>
                <c:pt idx="0">
                  <c:v>Motor cycle</c:v>
                </c:pt>
              </c:strCache>
            </c:strRef>
          </c:tx>
          <c:spPr>
            <a:solidFill>
              <a:schemeClr val="accent3"/>
            </a:solidFill>
            <a:ln>
              <a:noFill/>
            </a:ln>
            <a:effectLst/>
          </c:spPr>
          <c:invertIfNegative val="0"/>
          <c:cat>
            <c:numRef>
              <c:f>'KSI by transport'!$A$16:$A$21</c:f>
              <c:numCache>
                <c:formatCode>General</c:formatCode>
                <c:ptCount val="5"/>
                <c:pt idx="0">
                  <c:v>2013</c:v>
                </c:pt>
                <c:pt idx="1">
                  <c:v>2014</c:v>
                </c:pt>
                <c:pt idx="2">
                  <c:v>2015</c:v>
                </c:pt>
                <c:pt idx="3">
                  <c:v>2016</c:v>
                </c:pt>
                <c:pt idx="4">
                  <c:v>2017</c:v>
                </c:pt>
              </c:numCache>
            </c:numRef>
          </c:cat>
          <c:val>
            <c:numRef>
              <c:f>'KSI by transport'!$D$16:$D$21</c:f>
              <c:numCache>
                <c:formatCode>#,##0</c:formatCode>
                <c:ptCount val="5"/>
                <c:pt idx="0">
                  <c:v>21</c:v>
                </c:pt>
                <c:pt idx="1">
                  <c:v>22</c:v>
                </c:pt>
                <c:pt idx="2">
                  <c:v>15</c:v>
                </c:pt>
                <c:pt idx="3">
                  <c:v>20</c:v>
                </c:pt>
                <c:pt idx="4">
                  <c:v>39</c:v>
                </c:pt>
              </c:numCache>
            </c:numRef>
          </c:val>
        </c:ser>
        <c:ser>
          <c:idx val="3"/>
          <c:order val="3"/>
          <c:tx>
            <c:strRef>
              <c:f>'KSI by transport'!$E$15</c:f>
              <c:strCache>
                <c:ptCount val="1"/>
                <c:pt idx="0">
                  <c:v>Car</c:v>
                </c:pt>
              </c:strCache>
            </c:strRef>
          </c:tx>
          <c:spPr>
            <a:solidFill>
              <a:schemeClr val="accent4"/>
            </a:solidFill>
            <a:ln>
              <a:noFill/>
            </a:ln>
            <a:effectLst/>
          </c:spPr>
          <c:invertIfNegative val="0"/>
          <c:cat>
            <c:numRef>
              <c:f>'KSI by transport'!$A$16:$A$21</c:f>
              <c:numCache>
                <c:formatCode>General</c:formatCode>
                <c:ptCount val="5"/>
                <c:pt idx="0">
                  <c:v>2013</c:v>
                </c:pt>
                <c:pt idx="1">
                  <c:v>2014</c:v>
                </c:pt>
                <c:pt idx="2">
                  <c:v>2015</c:v>
                </c:pt>
                <c:pt idx="3">
                  <c:v>2016</c:v>
                </c:pt>
                <c:pt idx="4">
                  <c:v>2017</c:v>
                </c:pt>
              </c:numCache>
            </c:numRef>
          </c:cat>
          <c:val>
            <c:numRef>
              <c:f>'KSI by transport'!$E$16:$E$21</c:f>
              <c:numCache>
                <c:formatCode>#,##0</c:formatCode>
                <c:ptCount val="5"/>
                <c:pt idx="0">
                  <c:v>22</c:v>
                </c:pt>
                <c:pt idx="1">
                  <c:v>18</c:v>
                </c:pt>
                <c:pt idx="2">
                  <c:v>15</c:v>
                </c:pt>
                <c:pt idx="3">
                  <c:v>24</c:v>
                </c:pt>
                <c:pt idx="4">
                  <c:v>23</c:v>
                </c:pt>
              </c:numCache>
            </c:numRef>
          </c:val>
        </c:ser>
        <c:ser>
          <c:idx val="4"/>
          <c:order val="4"/>
          <c:tx>
            <c:strRef>
              <c:f>'KSI by transport'!$F$15</c:f>
              <c:strCache>
                <c:ptCount val="1"/>
                <c:pt idx="0">
                  <c:v>Bus or coach</c:v>
                </c:pt>
              </c:strCache>
            </c:strRef>
          </c:tx>
          <c:spPr>
            <a:solidFill>
              <a:schemeClr val="accent5"/>
            </a:solidFill>
            <a:ln>
              <a:noFill/>
            </a:ln>
            <a:effectLst/>
          </c:spPr>
          <c:invertIfNegative val="0"/>
          <c:cat>
            <c:numRef>
              <c:f>'KSI by transport'!$A$16:$A$21</c:f>
              <c:numCache>
                <c:formatCode>General</c:formatCode>
                <c:ptCount val="5"/>
                <c:pt idx="0">
                  <c:v>2013</c:v>
                </c:pt>
                <c:pt idx="1">
                  <c:v>2014</c:v>
                </c:pt>
                <c:pt idx="2">
                  <c:v>2015</c:v>
                </c:pt>
                <c:pt idx="3">
                  <c:v>2016</c:v>
                </c:pt>
                <c:pt idx="4">
                  <c:v>2017</c:v>
                </c:pt>
              </c:numCache>
            </c:numRef>
          </c:cat>
          <c:val>
            <c:numRef>
              <c:f>'KSI by transport'!$F$16:$F$21</c:f>
              <c:numCache>
                <c:formatCode>#,##0</c:formatCode>
                <c:ptCount val="5"/>
                <c:pt idx="0">
                  <c:v>0</c:v>
                </c:pt>
                <c:pt idx="1">
                  <c:v>0</c:v>
                </c:pt>
                <c:pt idx="2">
                  <c:v>2</c:v>
                </c:pt>
                <c:pt idx="3">
                  <c:v>3</c:v>
                </c:pt>
                <c:pt idx="4">
                  <c:v>5</c:v>
                </c:pt>
              </c:numCache>
            </c:numRef>
          </c:val>
        </c:ser>
        <c:ser>
          <c:idx val="5"/>
          <c:order val="5"/>
          <c:tx>
            <c:strRef>
              <c:f>'KSI by transport'!$G$15</c:f>
              <c:strCache>
                <c:ptCount val="1"/>
                <c:pt idx="0">
                  <c:v>Van or light goods</c:v>
                </c:pt>
              </c:strCache>
            </c:strRef>
          </c:tx>
          <c:spPr>
            <a:solidFill>
              <a:schemeClr val="accent6"/>
            </a:solidFill>
            <a:ln>
              <a:noFill/>
            </a:ln>
            <a:effectLst/>
          </c:spPr>
          <c:invertIfNegative val="0"/>
          <c:cat>
            <c:numRef>
              <c:f>'KSI by transport'!$A$16:$A$21</c:f>
              <c:numCache>
                <c:formatCode>General</c:formatCode>
                <c:ptCount val="5"/>
                <c:pt idx="0">
                  <c:v>2013</c:v>
                </c:pt>
                <c:pt idx="1">
                  <c:v>2014</c:v>
                </c:pt>
                <c:pt idx="2">
                  <c:v>2015</c:v>
                </c:pt>
                <c:pt idx="3">
                  <c:v>2016</c:v>
                </c:pt>
                <c:pt idx="4">
                  <c:v>2017</c:v>
                </c:pt>
              </c:numCache>
            </c:numRef>
          </c:cat>
          <c:val>
            <c:numRef>
              <c:f>'KSI by transport'!$G$16:$G$21</c:f>
              <c:numCache>
                <c:formatCode>#,##0</c:formatCode>
                <c:ptCount val="5"/>
                <c:pt idx="0">
                  <c:v>1</c:v>
                </c:pt>
                <c:pt idx="1">
                  <c:v>0</c:v>
                </c:pt>
                <c:pt idx="2">
                  <c:v>1</c:v>
                </c:pt>
                <c:pt idx="3">
                  <c:v>1</c:v>
                </c:pt>
                <c:pt idx="4">
                  <c:v>1</c:v>
                </c:pt>
              </c:numCache>
            </c:numRef>
          </c:val>
        </c:ser>
        <c:ser>
          <c:idx val="6"/>
          <c:order val="6"/>
          <c:tx>
            <c:strRef>
              <c:f>'KSI by transport'!$H$15</c:f>
              <c:strCache>
                <c:ptCount val="1"/>
                <c:pt idx="0">
                  <c:v>HGV</c:v>
                </c:pt>
              </c:strCache>
            </c:strRef>
          </c:tx>
          <c:spPr>
            <a:solidFill>
              <a:schemeClr val="accent1">
                <a:lumMod val="60000"/>
              </a:schemeClr>
            </a:solidFill>
            <a:ln>
              <a:noFill/>
            </a:ln>
            <a:effectLst/>
          </c:spPr>
          <c:invertIfNegative val="0"/>
          <c:cat>
            <c:numRef>
              <c:f>'KSI by transport'!$A$16:$A$21</c:f>
              <c:numCache>
                <c:formatCode>General</c:formatCode>
                <c:ptCount val="5"/>
                <c:pt idx="0">
                  <c:v>2013</c:v>
                </c:pt>
                <c:pt idx="1">
                  <c:v>2014</c:v>
                </c:pt>
                <c:pt idx="2">
                  <c:v>2015</c:v>
                </c:pt>
                <c:pt idx="3">
                  <c:v>2016</c:v>
                </c:pt>
                <c:pt idx="4">
                  <c:v>2017</c:v>
                </c:pt>
              </c:numCache>
            </c:numRef>
          </c:cat>
          <c:val>
            <c:numRef>
              <c:f>'KSI by transport'!$H$16:$H$21</c:f>
              <c:numCache>
                <c:formatCode>#,##0</c:formatCode>
                <c:ptCount val="5"/>
                <c:pt idx="0">
                  <c:v>0</c:v>
                </c:pt>
                <c:pt idx="1">
                  <c:v>0</c:v>
                </c:pt>
                <c:pt idx="2">
                  <c:v>0</c:v>
                </c:pt>
                <c:pt idx="3">
                  <c:v>0</c:v>
                </c:pt>
                <c:pt idx="4">
                  <c:v>0</c:v>
                </c:pt>
              </c:numCache>
            </c:numRef>
          </c:val>
        </c:ser>
        <c:dLbls>
          <c:showLegendKey val="0"/>
          <c:showVal val="0"/>
          <c:showCatName val="0"/>
          <c:showSerName val="0"/>
          <c:showPercent val="0"/>
          <c:showBubbleSize val="0"/>
        </c:dLbls>
        <c:gapWidth val="40"/>
        <c:overlap val="100"/>
        <c:axId val="940140752"/>
        <c:axId val="940141536"/>
      </c:barChart>
      <c:catAx>
        <c:axId val="9401407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940141536"/>
        <c:crosses val="autoZero"/>
        <c:auto val="1"/>
        <c:lblAlgn val="ctr"/>
        <c:lblOffset val="100"/>
        <c:noMultiLvlLbl val="0"/>
      </c:catAx>
      <c:valAx>
        <c:axId val="9401415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940140752"/>
        <c:crosses val="autoZero"/>
        <c:crossBetween val="between"/>
      </c:valAx>
      <c:spPr>
        <a:noFill/>
        <a:ln>
          <a:noFill/>
        </a:ln>
        <a:effectLst/>
      </c:spPr>
    </c:plotArea>
    <c:legend>
      <c:legendPos val="b"/>
      <c:layout>
        <c:manualLayout>
          <c:xMode val="edge"/>
          <c:yMode val="edge"/>
          <c:x val="0.76171999249081723"/>
          <c:y val="0.11921195826131492"/>
          <c:w val="0.21578787975389715"/>
          <c:h val="0.6824191793099031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267825896762902"/>
          <c:y val="0.17129629629629628"/>
          <c:w val="0.80843285214348193"/>
          <c:h val="0.71897309711286095"/>
        </c:manualLayout>
      </c:layout>
      <c:barChart>
        <c:barDir val="col"/>
        <c:grouping val="percentStacked"/>
        <c:varyColors val="0"/>
        <c:ser>
          <c:idx val="0"/>
          <c:order val="0"/>
          <c:tx>
            <c:strRef>
              <c:f>LFB!$A$45</c:f>
              <c:strCache>
                <c:ptCount val="1"/>
                <c:pt idx="0">
                  <c:v>False alarms</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LFB!$C$44:$G$44</c:f>
              <c:numCache>
                <c:formatCode>mmm\-yy</c:formatCode>
                <c:ptCount val="5"/>
                <c:pt idx="0">
                  <c:v>41791</c:v>
                </c:pt>
                <c:pt idx="1">
                  <c:v>42156</c:v>
                </c:pt>
                <c:pt idx="2">
                  <c:v>42522</c:v>
                </c:pt>
                <c:pt idx="3">
                  <c:v>42887</c:v>
                </c:pt>
                <c:pt idx="4">
                  <c:v>43252</c:v>
                </c:pt>
              </c:numCache>
            </c:numRef>
          </c:cat>
          <c:val>
            <c:numRef>
              <c:f>LFB!$C$45:$G$45</c:f>
              <c:numCache>
                <c:formatCode>0.0%</c:formatCode>
                <c:ptCount val="5"/>
                <c:pt idx="0">
                  <c:v>0.43354430379746833</c:v>
                </c:pt>
                <c:pt idx="1">
                  <c:v>0.42758620689655175</c:v>
                </c:pt>
                <c:pt idx="2">
                  <c:v>0.39156626506024095</c:v>
                </c:pt>
                <c:pt idx="3">
                  <c:v>0.45930232558139533</c:v>
                </c:pt>
                <c:pt idx="4">
                  <c:v>0.46987951807228917</c:v>
                </c:pt>
              </c:numCache>
            </c:numRef>
          </c:val>
        </c:ser>
        <c:ser>
          <c:idx val="1"/>
          <c:order val="1"/>
          <c:tx>
            <c:strRef>
              <c:f>LFB!$A$46</c:f>
              <c:strCache>
                <c:ptCount val="1"/>
                <c:pt idx="0">
                  <c:v>Real fires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LFB!$C$44:$G$44</c:f>
              <c:numCache>
                <c:formatCode>mmm\-yy</c:formatCode>
                <c:ptCount val="5"/>
                <c:pt idx="0">
                  <c:v>41791</c:v>
                </c:pt>
                <c:pt idx="1">
                  <c:v>42156</c:v>
                </c:pt>
                <c:pt idx="2">
                  <c:v>42522</c:v>
                </c:pt>
                <c:pt idx="3">
                  <c:v>42887</c:v>
                </c:pt>
                <c:pt idx="4">
                  <c:v>43252</c:v>
                </c:pt>
              </c:numCache>
            </c:numRef>
          </c:cat>
          <c:val>
            <c:numRef>
              <c:f>LFB!$C$46:$G$46</c:f>
              <c:numCache>
                <c:formatCode>0.0%</c:formatCode>
                <c:ptCount val="5"/>
                <c:pt idx="0">
                  <c:v>0.27848101265822783</c:v>
                </c:pt>
                <c:pt idx="1">
                  <c:v>0.30344827586206896</c:v>
                </c:pt>
                <c:pt idx="2">
                  <c:v>0.20783132530120482</c:v>
                </c:pt>
                <c:pt idx="3">
                  <c:v>0.24127906976744187</c:v>
                </c:pt>
                <c:pt idx="4">
                  <c:v>0.23192771084337349</c:v>
                </c:pt>
              </c:numCache>
            </c:numRef>
          </c:val>
        </c:ser>
        <c:ser>
          <c:idx val="2"/>
          <c:order val="2"/>
          <c:tx>
            <c:strRef>
              <c:f>LFB!$A$47</c:f>
              <c:strCache>
                <c:ptCount val="1"/>
                <c:pt idx="0">
                  <c:v>Special services</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bg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LFB!$C$44:$G$44</c:f>
              <c:numCache>
                <c:formatCode>mmm\-yy</c:formatCode>
                <c:ptCount val="5"/>
                <c:pt idx="0">
                  <c:v>41791</c:v>
                </c:pt>
                <c:pt idx="1">
                  <c:v>42156</c:v>
                </c:pt>
                <c:pt idx="2">
                  <c:v>42522</c:v>
                </c:pt>
                <c:pt idx="3">
                  <c:v>42887</c:v>
                </c:pt>
                <c:pt idx="4">
                  <c:v>43252</c:v>
                </c:pt>
              </c:numCache>
            </c:numRef>
          </c:cat>
          <c:val>
            <c:numRef>
              <c:f>LFB!$C$47:$G$47</c:f>
              <c:numCache>
                <c:formatCode>0.0%</c:formatCode>
                <c:ptCount val="5"/>
                <c:pt idx="0">
                  <c:v>0.28797468354430378</c:v>
                </c:pt>
                <c:pt idx="1">
                  <c:v>0.26896551724137929</c:v>
                </c:pt>
                <c:pt idx="2">
                  <c:v>0.4006024096385542</c:v>
                </c:pt>
                <c:pt idx="3">
                  <c:v>0.29941860465116277</c:v>
                </c:pt>
                <c:pt idx="4">
                  <c:v>0.29819277108433734</c:v>
                </c:pt>
              </c:numCache>
            </c:numRef>
          </c:val>
        </c:ser>
        <c:dLbls>
          <c:showLegendKey val="0"/>
          <c:showVal val="0"/>
          <c:showCatName val="0"/>
          <c:showSerName val="0"/>
          <c:showPercent val="0"/>
          <c:showBubbleSize val="0"/>
        </c:dLbls>
        <c:gapWidth val="33"/>
        <c:overlap val="100"/>
        <c:axId val="940145064"/>
        <c:axId val="940143496"/>
      </c:barChart>
      <c:catAx>
        <c:axId val="940145064"/>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940143496"/>
        <c:crosses val="autoZero"/>
        <c:auto val="0"/>
        <c:lblAlgn val="ctr"/>
        <c:lblOffset val="100"/>
        <c:noMultiLvlLbl val="0"/>
      </c:catAx>
      <c:valAx>
        <c:axId val="9401434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n-lt"/>
                <a:ea typeface="+mn-ea"/>
                <a:cs typeface="+mn-cs"/>
              </a:defRPr>
            </a:pPr>
            <a:endParaRPr lang="en-US"/>
          </a:p>
        </c:txPr>
        <c:crossAx val="940145064"/>
        <c:crosses val="autoZero"/>
        <c:crossBetween val="between"/>
        <c:majorUnit val="0.2"/>
      </c:valAx>
      <c:spPr>
        <a:noFill/>
        <a:ln>
          <a:noFill/>
        </a:ln>
        <a:effectLst/>
      </c:spPr>
    </c:plotArea>
    <c:legend>
      <c:legendPos val="b"/>
      <c:layout>
        <c:manualLayout>
          <c:xMode val="edge"/>
          <c:yMode val="edge"/>
          <c:x val="0.15235936132983377"/>
          <c:y val="3.0076188393117584E-2"/>
          <c:w val="0.54249027061272515"/>
          <c:h val="8.0029443040931361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en-US"/>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43971226727499"/>
          <c:y val="5.9564670194914161E-2"/>
          <c:w val="0.83574237434689824"/>
          <c:h val="0.62207435136181743"/>
        </c:manualLayout>
      </c:layout>
      <c:barChart>
        <c:barDir val="col"/>
        <c:grouping val="clustered"/>
        <c:varyColors val="0"/>
        <c:ser>
          <c:idx val="0"/>
          <c:order val="0"/>
          <c:tx>
            <c:strRef>
              <c:f>Flytipping!$F$2</c:f>
              <c:strCache>
                <c:ptCount val="1"/>
                <c:pt idx="0">
                  <c:v>Number</c:v>
                </c:pt>
              </c:strCache>
            </c:strRef>
          </c:tx>
          <c:spPr>
            <a:solidFill>
              <a:srgbClr val="5B9BD5"/>
            </a:solidFill>
            <a:ln>
              <a:noFill/>
            </a:ln>
          </c:spPr>
          <c:invertIfNegative val="0"/>
          <c:dPt>
            <c:idx val="30"/>
            <c:invertIfNegative val="0"/>
            <c:bubble3D val="0"/>
            <c:spPr>
              <a:solidFill>
                <a:srgbClr val="7030A0"/>
              </a:solidFill>
              <a:ln>
                <a:noFill/>
              </a:ln>
            </c:spPr>
          </c:dPt>
          <c:dLbls>
            <c:spPr>
              <a:noFill/>
              <a:ln>
                <a:noFill/>
              </a:ln>
              <a:effectLst/>
            </c:spPr>
            <c:txPr>
              <a:bodyPr rot="-5400000" vert="horz"/>
              <a:lstStyle/>
              <a:p>
                <a:pPr algn="ctr">
                  <a:defRPr sz="800"/>
                </a:pPr>
                <a:endParaRPr lang="en-US"/>
              </a:p>
            </c:txPr>
            <c:showLegendKey val="0"/>
            <c:showVal val="1"/>
            <c:showCatName val="0"/>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rect">
                    <a:avLst/>
                  </a:prstGeom>
                </c15:spPr>
                <c15:showLeaderLines val="1"/>
              </c:ext>
            </c:extLst>
          </c:dLbls>
          <c:cat>
            <c:strRef>
              <c:f>Flytipping!$E$3:$E$35</c:f>
              <c:strCache>
                <c:ptCount val="33"/>
                <c:pt idx="0">
                  <c:v>Bexley</c:v>
                </c:pt>
                <c:pt idx="1">
                  <c:v>Kingston upon Thames</c:v>
                </c:pt>
                <c:pt idx="2">
                  <c:v>City of London</c:v>
                </c:pt>
                <c:pt idx="3">
                  <c:v>Lewisham</c:v>
                </c:pt>
                <c:pt idx="4">
                  <c:v>Sutton</c:v>
                </c:pt>
                <c:pt idx="5">
                  <c:v>Barking and Dagenham</c:v>
                </c:pt>
                <c:pt idx="6">
                  <c:v>Islington</c:v>
                </c:pt>
                <c:pt idx="7">
                  <c:v>Merton</c:v>
                </c:pt>
                <c:pt idx="8">
                  <c:v>Bromley</c:v>
                </c:pt>
                <c:pt idx="9">
                  <c:v>Hackney</c:v>
                </c:pt>
                <c:pt idx="10">
                  <c:v>Lambeth</c:v>
                </c:pt>
                <c:pt idx="11">
                  <c:v>Havering</c:v>
                </c:pt>
                <c:pt idx="12">
                  <c:v>Wandsworth</c:v>
                </c:pt>
                <c:pt idx="13">
                  <c:v>Richmond upon Thames</c:v>
                </c:pt>
                <c:pt idx="14">
                  <c:v>Tower Hamlets</c:v>
                </c:pt>
                <c:pt idx="15">
                  <c:v>Waltham Forest</c:v>
                </c:pt>
                <c:pt idx="16">
                  <c:v>Camden</c:v>
                </c:pt>
                <c:pt idx="17">
                  <c:v>Harrow</c:v>
                </c:pt>
                <c:pt idx="18">
                  <c:v>Barnet </c:v>
                </c:pt>
                <c:pt idx="19">
                  <c:v>Hillingdon</c:v>
                </c:pt>
                <c:pt idx="20">
                  <c:v>Greenwich</c:v>
                </c:pt>
                <c:pt idx="21">
                  <c:v>Kensington and Chelsea</c:v>
                </c:pt>
                <c:pt idx="22">
                  <c:v>Westminster </c:v>
                </c:pt>
                <c:pt idx="23">
                  <c:v>Redbridge </c:v>
                </c:pt>
                <c:pt idx="24">
                  <c:v>Ealing</c:v>
                </c:pt>
                <c:pt idx="25">
                  <c:v>Hammersmith and Fulham </c:v>
                </c:pt>
                <c:pt idx="26">
                  <c:v>Southwark</c:v>
                </c:pt>
                <c:pt idx="27">
                  <c:v>Brent</c:v>
                </c:pt>
                <c:pt idx="28">
                  <c:v>Newham </c:v>
                </c:pt>
                <c:pt idx="29">
                  <c:v>Hounslow </c:v>
                </c:pt>
                <c:pt idx="30">
                  <c:v>Croydon </c:v>
                </c:pt>
                <c:pt idx="31">
                  <c:v>Haringey</c:v>
                </c:pt>
                <c:pt idx="32">
                  <c:v>Enfield</c:v>
                </c:pt>
              </c:strCache>
            </c:strRef>
          </c:cat>
          <c:val>
            <c:numRef>
              <c:f>Flytipping!$F$3:$F$35</c:f>
              <c:numCache>
                <c:formatCode>#,##0</c:formatCode>
                <c:ptCount val="33"/>
                <c:pt idx="0">
                  <c:v>1480</c:v>
                </c:pt>
                <c:pt idx="1">
                  <c:v>1528</c:v>
                </c:pt>
                <c:pt idx="2">
                  <c:v>1731</c:v>
                </c:pt>
                <c:pt idx="3">
                  <c:v>1931</c:v>
                </c:pt>
                <c:pt idx="4">
                  <c:v>2296</c:v>
                </c:pt>
                <c:pt idx="5">
                  <c:v>2423</c:v>
                </c:pt>
                <c:pt idx="6">
                  <c:v>3011</c:v>
                </c:pt>
                <c:pt idx="7">
                  <c:v>3113</c:v>
                </c:pt>
                <c:pt idx="8">
                  <c:v>3246</c:v>
                </c:pt>
                <c:pt idx="9">
                  <c:v>3267</c:v>
                </c:pt>
                <c:pt idx="10">
                  <c:v>3427</c:v>
                </c:pt>
                <c:pt idx="11">
                  <c:v>4061</c:v>
                </c:pt>
                <c:pt idx="12">
                  <c:v>4335</c:v>
                </c:pt>
                <c:pt idx="13">
                  <c:v>5253</c:v>
                </c:pt>
                <c:pt idx="14">
                  <c:v>6287</c:v>
                </c:pt>
                <c:pt idx="15">
                  <c:v>6772</c:v>
                </c:pt>
                <c:pt idx="16">
                  <c:v>6778</c:v>
                </c:pt>
                <c:pt idx="17">
                  <c:v>6835</c:v>
                </c:pt>
                <c:pt idx="18">
                  <c:v>7029</c:v>
                </c:pt>
                <c:pt idx="19">
                  <c:v>7766</c:v>
                </c:pt>
                <c:pt idx="20">
                  <c:v>7960</c:v>
                </c:pt>
                <c:pt idx="21">
                  <c:v>9029</c:v>
                </c:pt>
                <c:pt idx="22">
                  <c:v>10075</c:v>
                </c:pt>
                <c:pt idx="23">
                  <c:v>12461</c:v>
                </c:pt>
                <c:pt idx="24">
                  <c:v>14270</c:v>
                </c:pt>
                <c:pt idx="25">
                  <c:v>14870</c:v>
                </c:pt>
                <c:pt idx="26">
                  <c:v>17131</c:v>
                </c:pt>
                <c:pt idx="27">
                  <c:v>17340</c:v>
                </c:pt>
                <c:pt idx="28">
                  <c:v>19917</c:v>
                </c:pt>
                <c:pt idx="29">
                  <c:v>22973</c:v>
                </c:pt>
                <c:pt idx="30">
                  <c:v>24797</c:v>
                </c:pt>
                <c:pt idx="31">
                  <c:v>33333</c:v>
                </c:pt>
                <c:pt idx="32">
                  <c:v>75614</c:v>
                </c:pt>
              </c:numCache>
            </c:numRef>
          </c:val>
        </c:ser>
        <c:dLbls>
          <c:showLegendKey val="0"/>
          <c:showVal val="0"/>
          <c:showCatName val="0"/>
          <c:showSerName val="0"/>
          <c:showPercent val="0"/>
          <c:showBubbleSize val="0"/>
        </c:dLbls>
        <c:gapWidth val="50"/>
        <c:overlap val="-27"/>
        <c:axId val="940145848"/>
        <c:axId val="940146240"/>
      </c:barChart>
      <c:valAx>
        <c:axId val="940146240"/>
        <c:scaling>
          <c:orientation val="minMax"/>
          <c:max val="100000"/>
        </c:scaling>
        <c:delete val="0"/>
        <c:axPos val="l"/>
        <c:numFmt formatCode="#,##0" sourceLinked="1"/>
        <c:majorTickMark val="none"/>
        <c:minorTickMark val="none"/>
        <c:tickLblPos val="nextTo"/>
        <c:spPr>
          <a:solidFill>
            <a:schemeClr val="bg1"/>
          </a:solidFill>
          <a:ln>
            <a:solidFill>
              <a:srgbClr val="D9D9D9"/>
            </a:solidFill>
          </a:ln>
        </c:spPr>
        <c:txPr>
          <a:bodyPr/>
          <a:lstStyle/>
          <a:p>
            <a:pPr>
              <a:defRPr sz="900"/>
            </a:pPr>
            <a:endParaRPr lang="en-US"/>
          </a:p>
        </c:txPr>
        <c:crossAx val="940145848"/>
        <c:crosses val="autoZero"/>
        <c:crossBetween val="between"/>
      </c:valAx>
      <c:catAx>
        <c:axId val="940145848"/>
        <c:scaling>
          <c:orientation val="minMax"/>
        </c:scaling>
        <c:delete val="0"/>
        <c:axPos val="b"/>
        <c:numFmt formatCode="General" sourceLinked="1"/>
        <c:majorTickMark val="none"/>
        <c:minorTickMark val="none"/>
        <c:tickLblPos val="nextTo"/>
        <c:spPr>
          <a:noFill/>
          <a:ln w="9528" cap="flat">
            <a:solidFill>
              <a:srgbClr val="D9D9D9"/>
            </a:solidFill>
            <a:prstDash val="solid"/>
            <a:round/>
          </a:ln>
        </c:spPr>
        <c:txPr>
          <a:bodyPr/>
          <a:lstStyle/>
          <a:p>
            <a:pPr>
              <a:defRPr sz="600"/>
            </a:pPr>
            <a:endParaRPr lang="en-US"/>
          </a:p>
        </c:txPr>
        <c:crossAx val="940146240"/>
        <c:crosses val="autoZero"/>
        <c:auto val="1"/>
        <c:lblAlgn val="ctr"/>
        <c:lblOffset val="100"/>
        <c:noMultiLvlLbl val="0"/>
      </c:catAx>
      <c:spPr>
        <a:solidFill>
          <a:schemeClr val="bg1">
            <a:alpha val="69000"/>
          </a:schemeClr>
        </a:solidFill>
      </c:spPr>
    </c:plotArea>
    <c:plotVisOnly val="1"/>
    <c:dispBlanksAs val="gap"/>
    <c:showDLblsOverMax val="0"/>
  </c:chart>
  <c:spPr>
    <a:solidFill>
      <a:srgbClr val="FFFFFF"/>
    </a:solidFill>
    <a:ln w="9528" cap="flat">
      <a:solidFill>
        <a:schemeClr val="tx1"/>
      </a:solidFill>
      <a:prstDash val="solid"/>
      <a:round/>
    </a:ln>
  </c:spPr>
  <c:txPr>
    <a:bodyPr lIns="0" tIns="0" rIns="0" bIns="0"/>
    <a:lstStyle/>
    <a:p>
      <a:pPr marL="0" marR="0" indent="0" defTabSz="914400" fontAlgn="auto" hangingPunct="1">
        <a:lnSpc>
          <a:spcPct val="100000"/>
        </a:lnSpc>
        <a:spcBef>
          <a:spcPts val="0"/>
        </a:spcBef>
        <a:spcAft>
          <a:spcPts val="0"/>
        </a:spcAft>
        <a:tabLst/>
        <a:defRPr lang="en-US" sz="1200" b="0" i="0" u="none" strike="noStrike" kern="1200" baseline="0">
          <a:solidFill>
            <a:srgbClr val="000000"/>
          </a:solidFill>
          <a:latin typeface="Arial" panose="020B0604020202020204" pitchFamily="34" charset="0"/>
          <a:cs typeface="Arial" panose="020B0604020202020204" pitchFamily="34" charset="0"/>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133317449151708"/>
          <c:y val="0.16734972677595628"/>
          <c:w val="0.82862840091674417"/>
          <c:h val="0.71627941999053402"/>
        </c:manualLayout>
      </c:layout>
      <c:barChart>
        <c:barDir val="col"/>
        <c:grouping val="clustered"/>
        <c:varyColors val="0"/>
        <c:ser>
          <c:idx val="0"/>
          <c:order val="0"/>
          <c:tx>
            <c:strRef>
              <c:f>'KS5 and FE'!$A$24</c:f>
              <c:strCache>
                <c:ptCount val="1"/>
                <c:pt idx="0">
                  <c:v>Croydon</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'KS5 and FE'!$E$23:$I$23</c:f>
              <c:numCache>
                <c:formatCode>0</c:formatCode>
                <c:ptCount val="5"/>
                <c:pt idx="0">
                  <c:v>2014</c:v>
                </c:pt>
                <c:pt idx="1">
                  <c:v>2015</c:v>
                </c:pt>
                <c:pt idx="2">
                  <c:v>2016</c:v>
                </c:pt>
                <c:pt idx="3">
                  <c:v>2017</c:v>
                </c:pt>
                <c:pt idx="4">
                  <c:v>2018</c:v>
                </c:pt>
              </c:numCache>
            </c:numRef>
          </c:cat>
          <c:val>
            <c:numRef>
              <c:f>'KS5 and FE'!$E$24:$I$24</c:f>
              <c:numCache>
                <c:formatCode>0.0</c:formatCode>
                <c:ptCount val="5"/>
                <c:pt idx="0">
                  <c:v>8.9</c:v>
                </c:pt>
                <c:pt idx="1">
                  <c:v>7.1</c:v>
                </c:pt>
                <c:pt idx="2">
                  <c:v>11.7</c:v>
                </c:pt>
                <c:pt idx="3">
                  <c:v>13.1</c:v>
                </c:pt>
                <c:pt idx="4">
                  <c:v>8.4</c:v>
                </c:pt>
              </c:numCache>
            </c:numRef>
          </c:val>
        </c:ser>
        <c:ser>
          <c:idx val="1"/>
          <c:order val="1"/>
          <c:tx>
            <c:strRef>
              <c:f>'KS5 and FE'!$A$25</c:f>
              <c:strCache>
                <c:ptCount val="1"/>
                <c:pt idx="0">
                  <c:v>London</c:v>
                </c:pt>
              </c:strCache>
            </c:strRef>
          </c:tx>
          <c:spPr>
            <a:solidFill>
              <a:schemeClr val="accent2"/>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'KS5 and FE'!$E$23:$I$23</c:f>
              <c:numCache>
                <c:formatCode>0</c:formatCode>
                <c:ptCount val="5"/>
                <c:pt idx="0">
                  <c:v>2014</c:v>
                </c:pt>
                <c:pt idx="1">
                  <c:v>2015</c:v>
                </c:pt>
                <c:pt idx="2">
                  <c:v>2016</c:v>
                </c:pt>
                <c:pt idx="3">
                  <c:v>2017</c:v>
                </c:pt>
                <c:pt idx="4">
                  <c:v>2018</c:v>
                </c:pt>
              </c:numCache>
            </c:numRef>
          </c:cat>
          <c:val>
            <c:numRef>
              <c:f>'KS5 and FE'!$E$25:$I$25</c:f>
              <c:numCache>
                <c:formatCode>0.0</c:formatCode>
                <c:ptCount val="5"/>
                <c:pt idx="0">
                  <c:v>17.100000000000001</c:v>
                </c:pt>
                <c:pt idx="1">
                  <c:v>17.3</c:v>
                </c:pt>
                <c:pt idx="2">
                  <c:v>19.600000000000001</c:v>
                </c:pt>
                <c:pt idx="3">
                  <c:v>21.3</c:v>
                </c:pt>
                <c:pt idx="4">
                  <c:v>19.5</c:v>
                </c:pt>
              </c:numCache>
            </c:numRef>
          </c:val>
        </c:ser>
        <c:ser>
          <c:idx val="2"/>
          <c:order val="2"/>
          <c:tx>
            <c:strRef>
              <c:f>'KS5 and FE'!$A$26</c:f>
              <c:strCache>
                <c:ptCount val="1"/>
                <c:pt idx="0">
                  <c:v>England</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'KS5 and FE'!$E$23:$I$23</c:f>
              <c:numCache>
                <c:formatCode>0</c:formatCode>
                <c:ptCount val="5"/>
                <c:pt idx="0">
                  <c:v>2014</c:v>
                </c:pt>
                <c:pt idx="1">
                  <c:v>2015</c:v>
                </c:pt>
                <c:pt idx="2">
                  <c:v>2016</c:v>
                </c:pt>
                <c:pt idx="3">
                  <c:v>2017</c:v>
                </c:pt>
                <c:pt idx="4">
                  <c:v>2018</c:v>
                </c:pt>
              </c:numCache>
            </c:numRef>
          </c:cat>
          <c:val>
            <c:numRef>
              <c:f>'KS5 and FE'!$E$26:$I$26</c:f>
              <c:numCache>
                <c:formatCode>0.0</c:formatCode>
                <c:ptCount val="5"/>
                <c:pt idx="0">
                  <c:v>19.5</c:v>
                </c:pt>
                <c:pt idx="1">
                  <c:v>19.2</c:v>
                </c:pt>
                <c:pt idx="2">
                  <c:v>22.1</c:v>
                </c:pt>
                <c:pt idx="3">
                  <c:v>22.4</c:v>
                </c:pt>
                <c:pt idx="4">
                  <c:v>20.6</c:v>
                </c:pt>
              </c:numCache>
            </c:numRef>
          </c:val>
        </c:ser>
        <c:dLbls>
          <c:showLegendKey val="0"/>
          <c:showVal val="0"/>
          <c:showCatName val="0"/>
          <c:showSerName val="0"/>
          <c:showPercent val="0"/>
          <c:showBubbleSize val="0"/>
        </c:dLbls>
        <c:gapWidth val="167"/>
        <c:overlap val="-4"/>
        <c:axId val="567450384"/>
        <c:axId val="567448816"/>
      </c:barChart>
      <c:catAx>
        <c:axId val="567450384"/>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67448816"/>
        <c:crosses val="autoZero"/>
        <c:auto val="1"/>
        <c:lblAlgn val="ctr"/>
        <c:lblOffset val="100"/>
        <c:noMultiLvlLbl val="0"/>
      </c:catAx>
      <c:valAx>
        <c:axId val="567448816"/>
        <c:scaling>
          <c:orientation val="minMax"/>
          <c:max val="25"/>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67450384"/>
        <c:crosses val="autoZero"/>
        <c:crossBetween val="between"/>
      </c:valAx>
      <c:spPr>
        <a:noFill/>
        <a:ln>
          <a:noFill/>
        </a:ln>
        <a:effectLst/>
      </c:spPr>
    </c:plotArea>
    <c:legend>
      <c:legendPos val="b"/>
      <c:layout>
        <c:manualLayout>
          <c:xMode val="edge"/>
          <c:yMode val="edge"/>
          <c:x val="0.25895546378028395"/>
          <c:y val="5.7803558366679483E-2"/>
          <c:w val="0.50352704471018928"/>
          <c:h val="8.0271664300159196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200"/>
      </a:pPr>
      <a:endParaRPr lang="en-US"/>
    </a:p>
  </c:txPr>
  <c:externalData r:id="rId4">
    <c:autoUpdate val="0"/>
  </c:externalData>
  <c:userShapes r:id="rId5"/>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83010733486117"/>
          <c:y val="0.15288708172519097"/>
          <c:w val="0.80370981556746823"/>
          <c:h val="0.71817599647442398"/>
        </c:manualLayout>
      </c:layout>
      <c:barChart>
        <c:barDir val="col"/>
        <c:grouping val="clustered"/>
        <c:varyColors val="0"/>
        <c:ser>
          <c:idx val="0"/>
          <c:order val="0"/>
          <c:tx>
            <c:strRef>
              <c:f>'KS5 and FE'!$O$36</c:f>
              <c:strCache>
                <c:ptCount val="1"/>
                <c:pt idx="0">
                  <c:v>Croydon</c:v>
                </c:pt>
              </c:strCache>
            </c:strRef>
          </c:tx>
          <c:spPr>
            <a:solidFill>
              <a:schemeClr val="accent1"/>
            </a:solidFill>
            <a:ln>
              <a:noFill/>
            </a:ln>
            <a:effectLst/>
          </c:spPr>
          <c:invertIfNegative val="0"/>
          <c:dPt>
            <c:idx val="0"/>
            <c:invertIfNegative val="0"/>
            <c:bubble3D val="0"/>
            <c:spPr>
              <a:solidFill>
                <a:schemeClr val="accent1"/>
              </a:solidFill>
              <a:ln>
                <a:noFill/>
              </a:ln>
              <a:effectLst/>
            </c:spPr>
          </c:dPt>
          <c:dLbls>
            <c:spPr>
              <a:noFill/>
              <a:ln>
                <a:noFill/>
              </a:ln>
              <a:effectLst/>
            </c:spPr>
            <c:txPr>
              <a:bodyPr rot="-5400000" spcFirstLastPara="1" vertOverflow="ellipsis"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'KS5 and FE'!$U$35:$Y$35</c:f>
              <c:numCache>
                <c:formatCode>0</c:formatCode>
                <c:ptCount val="5"/>
                <c:pt idx="0">
                  <c:v>2013</c:v>
                </c:pt>
                <c:pt idx="1">
                  <c:v>2014</c:v>
                </c:pt>
                <c:pt idx="2">
                  <c:v>2015</c:v>
                </c:pt>
                <c:pt idx="3">
                  <c:v>2016</c:v>
                </c:pt>
                <c:pt idx="4">
                  <c:v>2017</c:v>
                </c:pt>
              </c:numCache>
            </c:numRef>
          </c:cat>
          <c:val>
            <c:numRef>
              <c:f>'KS5 and FE'!$U$36:$Y$36</c:f>
              <c:numCache>
                <c:formatCode>0.00</c:formatCode>
                <c:ptCount val="5"/>
                <c:pt idx="0">
                  <c:v>63.1</c:v>
                </c:pt>
                <c:pt idx="1">
                  <c:v>66.5</c:v>
                </c:pt>
                <c:pt idx="2">
                  <c:v>70.7</c:v>
                </c:pt>
                <c:pt idx="3">
                  <c:v>69.599999999999994</c:v>
                </c:pt>
                <c:pt idx="4">
                  <c:v>68.8</c:v>
                </c:pt>
              </c:numCache>
            </c:numRef>
          </c:val>
        </c:ser>
        <c:ser>
          <c:idx val="2"/>
          <c:order val="2"/>
          <c:tx>
            <c:strRef>
              <c:f>'KS5 and FE'!$O$38</c:f>
              <c:strCache>
                <c:ptCount val="1"/>
                <c:pt idx="0">
                  <c:v>Stat Neighbour</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'KS5 and FE'!$U$35:$Y$35</c:f>
              <c:numCache>
                <c:formatCode>0</c:formatCode>
                <c:ptCount val="5"/>
                <c:pt idx="0">
                  <c:v>2013</c:v>
                </c:pt>
                <c:pt idx="1">
                  <c:v>2014</c:v>
                </c:pt>
                <c:pt idx="2">
                  <c:v>2015</c:v>
                </c:pt>
                <c:pt idx="3">
                  <c:v>2016</c:v>
                </c:pt>
                <c:pt idx="4">
                  <c:v>2017</c:v>
                </c:pt>
              </c:numCache>
            </c:numRef>
          </c:cat>
          <c:val>
            <c:numRef>
              <c:f>'KS5 and FE'!$U$38:$Y$38</c:f>
              <c:numCache>
                <c:formatCode>0.00</c:formatCode>
                <c:ptCount val="5"/>
                <c:pt idx="0">
                  <c:v>61.49</c:v>
                </c:pt>
                <c:pt idx="1">
                  <c:v>64.02</c:v>
                </c:pt>
                <c:pt idx="2">
                  <c:v>66.41</c:v>
                </c:pt>
                <c:pt idx="3">
                  <c:v>68.900000000000006</c:v>
                </c:pt>
                <c:pt idx="4">
                  <c:v>68.2</c:v>
                </c:pt>
              </c:numCache>
            </c:numRef>
          </c:val>
        </c:ser>
        <c:ser>
          <c:idx val="3"/>
          <c:order val="3"/>
          <c:tx>
            <c:strRef>
              <c:f>'KS5 and FE'!$O$39</c:f>
              <c:strCache>
                <c:ptCount val="1"/>
                <c:pt idx="0">
                  <c:v>England</c:v>
                </c:pt>
              </c:strCache>
            </c:strRef>
          </c:tx>
          <c:spPr>
            <a:solidFill>
              <a:schemeClr val="accent3"/>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'KS5 and FE'!$U$35:$Y$35</c:f>
              <c:numCache>
                <c:formatCode>0</c:formatCode>
                <c:ptCount val="5"/>
                <c:pt idx="0">
                  <c:v>2013</c:v>
                </c:pt>
                <c:pt idx="1">
                  <c:v>2014</c:v>
                </c:pt>
                <c:pt idx="2">
                  <c:v>2015</c:v>
                </c:pt>
                <c:pt idx="3">
                  <c:v>2016</c:v>
                </c:pt>
                <c:pt idx="4">
                  <c:v>2017</c:v>
                </c:pt>
              </c:numCache>
            </c:numRef>
          </c:cat>
          <c:val>
            <c:numRef>
              <c:f>'KS5 and FE'!$U$39:$Y$39</c:f>
              <c:numCache>
                <c:formatCode>0.00</c:formatCode>
                <c:ptCount val="5"/>
                <c:pt idx="0">
                  <c:v>64.099999999999994</c:v>
                </c:pt>
                <c:pt idx="1">
                  <c:v>65.900000000000006</c:v>
                </c:pt>
                <c:pt idx="2">
                  <c:v>68</c:v>
                </c:pt>
                <c:pt idx="3">
                  <c:v>68.7</c:v>
                </c:pt>
                <c:pt idx="4">
                  <c:v>68.8</c:v>
                </c:pt>
              </c:numCache>
            </c:numRef>
          </c:val>
        </c:ser>
        <c:dLbls>
          <c:showLegendKey val="0"/>
          <c:showVal val="0"/>
          <c:showCatName val="0"/>
          <c:showSerName val="0"/>
          <c:showPercent val="0"/>
          <c:showBubbleSize val="0"/>
        </c:dLbls>
        <c:gapWidth val="128"/>
        <c:overlap val="5"/>
        <c:axId val="567449992"/>
        <c:axId val="567450776"/>
        <c:extLst>
          <c:ext xmlns:c15="http://schemas.microsoft.com/office/drawing/2012/chart" uri="{02D57815-91ED-43cb-92C2-25804820EDAC}">
            <c15:filteredBarSeries>
              <c15:ser>
                <c:idx val="1"/>
                <c:order val="1"/>
                <c:tx>
                  <c:strRef>
                    <c:extLst>
                      <c:ext uri="{02D57815-91ED-43cb-92C2-25804820EDAC}">
                        <c15:formulaRef>
                          <c15:sqref>'KS5 and FE'!$O$37</c15:sqref>
                        </c15:formulaRef>
                      </c:ext>
                    </c:extLst>
                    <c:strCache>
                      <c:ptCount val="1"/>
                      <c:pt idx="0">
                        <c:v>London</c:v>
                      </c:pt>
                    </c:strCache>
                  </c:strRef>
                </c:tx>
                <c:spPr>
                  <a:solidFill>
                    <a:schemeClr val="accent2"/>
                  </a:solidFill>
                  <a:ln>
                    <a:noFill/>
                  </a:ln>
                  <a:effectLst/>
                </c:spPr>
                <c:invertIfNegative val="0"/>
                <c:dLbls>
                  <c:spPr>
                    <a:noFill/>
                    <a:ln>
                      <a:noFill/>
                    </a:ln>
                    <a:effectLst/>
                  </c:spPr>
                  <c:txPr>
                    <a:bodyPr rot="-5400000" spcFirstLastPara="1" vertOverflow="ellipsis" wrap="square" anchor="ctr" anchorCtr="1"/>
                    <a:lstStyle/>
                    <a:p>
                      <a:pPr>
                        <a:defRPr sz="10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'KS5 and FE'!$U$35:$Y$35</c15:sqref>
                        </c15:formulaRef>
                      </c:ext>
                    </c:extLst>
                    <c:numCache>
                      <c:formatCode>0</c:formatCode>
                      <c:ptCount val="5"/>
                      <c:pt idx="0">
                        <c:v>2013</c:v>
                      </c:pt>
                      <c:pt idx="1">
                        <c:v>2014</c:v>
                      </c:pt>
                      <c:pt idx="2">
                        <c:v>2015</c:v>
                      </c:pt>
                      <c:pt idx="3">
                        <c:v>2016</c:v>
                      </c:pt>
                      <c:pt idx="4">
                        <c:v>2017</c:v>
                      </c:pt>
                    </c:numCache>
                  </c:numRef>
                </c:cat>
                <c:val>
                  <c:numRef>
                    <c:extLst>
                      <c:ext uri="{02D57815-91ED-43cb-92C2-25804820EDAC}">
                        <c15:formulaRef>
                          <c15:sqref>'KS5 and FE'!$U$37:$Y$37</c15:sqref>
                        </c15:formulaRef>
                      </c:ext>
                    </c:extLst>
                    <c:numCache>
                      <c:formatCode>0.00</c:formatCode>
                      <c:ptCount val="5"/>
                      <c:pt idx="0">
                        <c:v>65.8</c:v>
                      </c:pt>
                      <c:pt idx="1">
                        <c:v>67.900000000000006</c:v>
                      </c:pt>
                      <c:pt idx="2">
                        <c:v>70.400000000000006</c:v>
                      </c:pt>
                      <c:pt idx="3">
                        <c:v>71.5</c:v>
                      </c:pt>
                    </c:numCache>
                  </c:numRef>
                </c:val>
              </c15:ser>
            </c15:filteredBarSeries>
          </c:ext>
        </c:extLst>
      </c:barChart>
      <c:catAx>
        <c:axId val="567449992"/>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67450776"/>
        <c:crosses val="autoZero"/>
        <c:auto val="1"/>
        <c:lblAlgn val="ctr"/>
        <c:lblOffset val="100"/>
        <c:noMultiLvlLbl val="0"/>
      </c:catAx>
      <c:valAx>
        <c:axId val="56745077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67449992"/>
        <c:crosses val="autoZero"/>
        <c:crossBetween val="between"/>
        <c:majorUnit val="20"/>
      </c:valAx>
      <c:spPr>
        <a:noFill/>
        <a:ln>
          <a:noFill/>
        </a:ln>
        <a:effectLst/>
      </c:spPr>
    </c:plotArea>
    <c:legend>
      <c:legendPos val="b"/>
      <c:layout>
        <c:manualLayout>
          <c:xMode val="edge"/>
          <c:yMode val="edge"/>
          <c:x val="0.15812430208088754"/>
          <c:y val="3.5026459034116143E-2"/>
          <c:w val="0.65460265597837652"/>
          <c:h val="8.7579230777176012E-2"/>
        </c:manualLayout>
      </c:layout>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ysClr val="windowText" lastClr="000000"/>
      </a:solidFill>
      <a:round/>
    </a:ln>
    <a:effectLst/>
  </c:spPr>
  <c:txPr>
    <a:bodyPr/>
    <a:lstStyle/>
    <a:p>
      <a:pPr>
        <a:defRPr sz="1200"/>
      </a:pPr>
      <a:endParaRPr lang="en-US"/>
    </a:p>
  </c:txPr>
  <c:externalData r:id="rId4">
    <c:autoUpdate val="0"/>
  </c:externalData>
  <c:userShapes r:id="rId5"/>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7.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cdr:x>
      <cdr:y>0.48035</cdr:y>
    </cdr:from>
    <cdr:to>
      <cdr:x>0.04791</cdr:x>
      <cdr:y>0.59256</cdr:y>
    </cdr:to>
    <cdr:sp macro="" textlink="">
      <cdr:nvSpPr>
        <cdr:cNvPr id="2" name="TextBox 1"/>
        <cdr:cNvSpPr txBox="1"/>
      </cdr:nvSpPr>
      <cdr:spPr>
        <a:xfrm xmlns:a="http://schemas.openxmlformats.org/drawingml/2006/main">
          <a:off x="0" y="1167634"/>
          <a:ext cx="201551" cy="27275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200" b="1"/>
            <a:t>%</a:t>
          </a:r>
        </a:p>
      </cdr:txBody>
    </cdr:sp>
  </cdr:relSizeAnchor>
</c:userShapes>
</file>

<file path=word/drawings/drawing2.xml><?xml version="1.0" encoding="utf-8"?>
<c:userShapes xmlns:c="http://schemas.openxmlformats.org/drawingml/2006/chart">
  <cdr:relSizeAnchor xmlns:cdr="http://schemas.openxmlformats.org/drawingml/2006/chartDrawing">
    <cdr:from>
      <cdr:x>0.02244</cdr:x>
      <cdr:y>0.46798</cdr:y>
    </cdr:from>
    <cdr:to>
      <cdr:x>0.07532</cdr:x>
      <cdr:y>0.56404</cdr:y>
    </cdr:to>
    <cdr:sp macro="" textlink="">
      <cdr:nvSpPr>
        <cdr:cNvPr id="2" name="TextBox 1"/>
        <cdr:cNvSpPr txBox="1"/>
      </cdr:nvSpPr>
      <cdr:spPr>
        <a:xfrm xmlns:a="http://schemas.openxmlformats.org/drawingml/2006/main">
          <a:off x="106680" y="1447800"/>
          <a:ext cx="251460" cy="2971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b="1"/>
            <a:t>%</a:t>
          </a:r>
        </a:p>
      </cdr:txBody>
    </cdr:sp>
  </cdr:relSizeAnchor>
</c:userShapes>
</file>

<file path=word/drawings/drawing3.xml><?xml version="1.0" encoding="utf-8"?>
<c:userShapes xmlns:c="http://schemas.openxmlformats.org/drawingml/2006/chart">
  <cdr:relSizeAnchor xmlns:cdr="http://schemas.openxmlformats.org/drawingml/2006/chartDrawing">
    <cdr:from>
      <cdr:x>0.03013</cdr:x>
      <cdr:y>0.42858</cdr:y>
    </cdr:from>
    <cdr:to>
      <cdr:x>0.08013</cdr:x>
      <cdr:y>0.55762</cdr:y>
    </cdr:to>
    <cdr:sp macro="" textlink="">
      <cdr:nvSpPr>
        <cdr:cNvPr id="2" name="TextBox 1"/>
        <cdr:cNvSpPr txBox="1"/>
      </cdr:nvSpPr>
      <cdr:spPr>
        <a:xfrm xmlns:a="http://schemas.openxmlformats.org/drawingml/2006/main">
          <a:off x="143256" y="1107112"/>
          <a:ext cx="237744" cy="33331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a:t>
          </a:r>
        </a:p>
      </cdr:txBody>
    </cdr:sp>
  </cdr:relSizeAnchor>
</c:userShapes>
</file>

<file path=word/drawings/drawing4.xml><?xml version="1.0" encoding="utf-8"?>
<c:userShapes xmlns:c="http://schemas.openxmlformats.org/drawingml/2006/chart">
  <cdr:relSizeAnchor xmlns:cdr="http://schemas.openxmlformats.org/drawingml/2006/chartDrawing">
    <cdr:from>
      <cdr:x>0.00144</cdr:x>
      <cdr:y>0.46722</cdr:y>
    </cdr:from>
    <cdr:to>
      <cdr:x>0.03602</cdr:x>
      <cdr:y>0.52459</cdr:y>
    </cdr:to>
    <cdr:sp macro="" textlink="">
      <cdr:nvSpPr>
        <cdr:cNvPr id="2" name="TextBox 1"/>
        <cdr:cNvSpPr txBox="1"/>
      </cdr:nvSpPr>
      <cdr:spPr>
        <a:xfrm xmlns:a="http://schemas.openxmlformats.org/drawingml/2006/main">
          <a:off x="7614" y="1737373"/>
          <a:ext cx="182868" cy="21333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a:t>
          </a:r>
        </a:p>
      </cdr:txBody>
    </cdr:sp>
  </cdr:relSizeAnchor>
</c:userShapes>
</file>

<file path=word/drawings/drawing5.xml><?xml version="1.0" encoding="utf-8"?>
<c:userShapes xmlns:c="http://schemas.openxmlformats.org/drawingml/2006/chart">
  <cdr:relSizeAnchor xmlns:cdr="http://schemas.openxmlformats.org/drawingml/2006/chartDrawing">
    <cdr:from>
      <cdr:x>0</cdr:x>
      <cdr:y>0.44808</cdr:y>
    </cdr:from>
    <cdr:to>
      <cdr:x>0.03906</cdr:x>
      <cdr:y>0.52485</cdr:y>
    </cdr:to>
    <cdr:sp macro="" textlink="">
      <cdr:nvSpPr>
        <cdr:cNvPr id="2" name="TextBox 1"/>
        <cdr:cNvSpPr txBox="1"/>
      </cdr:nvSpPr>
      <cdr:spPr>
        <a:xfrm xmlns:a="http://schemas.openxmlformats.org/drawingml/2006/main">
          <a:off x="0" y="1301434"/>
          <a:ext cx="177168" cy="22297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GB" sz="1100"/>
            <a:t>%</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E079E-50D7-4706-95FA-1DDA8E9AB6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104</Pages>
  <Words>15048</Words>
  <Characters>85774</Characters>
  <Application>Microsoft Office Word</Application>
  <DocSecurity>0</DocSecurity>
  <Lines>714</Lines>
  <Paragraphs>201</Paragraphs>
  <ScaleCrop>false</ScaleCrop>
  <HeadingPairs>
    <vt:vector size="2" baseType="variant">
      <vt:variant>
        <vt:lpstr>Title</vt:lpstr>
      </vt:variant>
      <vt:variant>
        <vt:i4>1</vt:i4>
      </vt:variant>
    </vt:vector>
  </HeadingPairs>
  <TitlesOfParts>
    <vt:vector size="1" baseType="lpstr">
      <vt:lpstr/>
    </vt:vector>
  </TitlesOfParts>
  <Company>Capita ITES</Company>
  <LinksUpToDate>false</LinksUpToDate>
  <CharactersWithSpaces>100621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Fallon, Edmund</dc:creator>
  <cp:keywords/>
  <dc:description/>
  <cp:lastModifiedBy>Fallon, Edmund</cp:lastModifiedBy>
  <cp:revision>2</cp:revision>
  <cp:lastPrinted>2018-11-27T14:25:00Z</cp:lastPrinted>
  <dcterms:created xsi:type="dcterms:W3CDTF">2019-01-14T14:08:00Z</dcterms:created>
  <dcterms:modified xsi:type="dcterms:W3CDTF">2019-01-14T14:08:00Z</dcterms:modified>
</cp:coreProperties>
</file>